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C86" w:rsidRPr="007612B9" w:rsidRDefault="00BC4C86" w:rsidP="00BC4C86">
      <w:pPr>
        <w:pBdr>
          <w:between w:val="single" w:sz="8" w:space="1" w:color="C00000"/>
        </w:pBdr>
        <w:tabs>
          <w:tab w:val="right" w:pos="9000"/>
        </w:tabs>
        <w:rPr>
          <w:rFonts w:cs="Arial"/>
          <w:b/>
          <w:color w:val="C00000"/>
          <w:sz w:val="36"/>
          <w:szCs w:val="36"/>
        </w:rPr>
      </w:pPr>
      <w:bookmarkStart w:id="0" w:name="_GoBack"/>
      <w:bookmarkEnd w:id="0"/>
      <w:r w:rsidRPr="007612B9">
        <w:rPr>
          <w:rFonts w:cs="Arial"/>
          <w:b/>
          <w:color w:val="C00000"/>
          <w:sz w:val="36"/>
          <w:szCs w:val="36"/>
        </w:rPr>
        <w:t>Planning Services</w:t>
      </w:r>
    </w:p>
    <w:p w:rsidR="00BC4C86" w:rsidRPr="00E50415" w:rsidRDefault="00BC4C86" w:rsidP="00E50415">
      <w:pPr>
        <w:pBdr>
          <w:between w:val="single" w:sz="8" w:space="1" w:color="C00000"/>
        </w:pBdr>
        <w:tabs>
          <w:tab w:val="right" w:pos="9000"/>
        </w:tabs>
        <w:ind w:left="181" w:hanging="181"/>
        <w:rPr>
          <w:rFonts w:cs="Arial"/>
          <w:color w:val="002060"/>
          <w:sz w:val="32"/>
          <w:szCs w:val="32"/>
        </w:rPr>
      </w:pPr>
      <w:r w:rsidRPr="00672AB1">
        <w:rPr>
          <w:rFonts w:cs="Arial"/>
          <w:color w:val="C00000"/>
          <w:sz w:val="32"/>
          <w:szCs w:val="32"/>
        </w:rPr>
        <w:t>Gateway Determination Report</w:t>
      </w:r>
    </w:p>
    <w:p w:rsidR="00BC4C86" w:rsidRPr="00A15C06" w:rsidRDefault="00BC4C86" w:rsidP="00BC4C86">
      <w:pPr>
        <w:tabs>
          <w:tab w:val="right" w:pos="9000"/>
        </w:tabs>
        <w:ind w:left="181" w:hanging="181"/>
        <w:rPr>
          <w:rFonts w:cs="Arial"/>
          <w:b/>
          <w:szCs w:val="24"/>
        </w:rPr>
      </w:pPr>
    </w:p>
    <w:tbl>
      <w:tblPr>
        <w:tblW w:w="922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940"/>
        <w:gridCol w:w="6283"/>
      </w:tblGrid>
      <w:tr w:rsidR="00BC4C86" w:rsidRPr="00F22923" w:rsidTr="00156BB1">
        <w:trPr>
          <w:trHeight w:val="273"/>
        </w:trPr>
        <w:tc>
          <w:tcPr>
            <w:tcW w:w="2940" w:type="dxa"/>
            <w:shd w:val="clear" w:color="auto" w:fill="auto"/>
          </w:tcPr>
          <w:p w:rsidR="00BC4C86" w:rsidRPr="00F22923" w:rsidRDefault="00BC4C86" w:rsidP="00156BB1">
            <w:pPr>
              <w:rPr>
                <w:b/>
              </w:rPr>
            </w:pPr>
            <w:r>
              <w:rPr>
                <w:b/>
              </w:rPr>
              <w:t>LGA</w:t>
            </w:r>
          </w:p>
        </w:tc>
        <w:tc>
          <w:tcPr>
            <w:tcW w:w="6283" w:type="dxa"/>
            <w:shd w:val="clear" w:color="auto" w:fill="auto"/>
          </w:tcPr>
          <w:p w:rsidR="00BC4C86" w:rsidRPr="006F10C6" w:rsidRDefault="00BC4C86" w:rsidP="00156BB1">
            <w:r w:rsidRPr="006F10C6">
              <w:t>Wingecarribee Shire Council</w:t>
            </w:r>
          </w:p>
        </w:tc>
      </w:tr>
      <w:tr w:rsidR="00BC4C86" w:rsidRPr="00F22923" w:rsidTr="00156BB1">
        <w:trPr>
          <w:trHeight w:val="273"/>
        </w:trPr>
        <w:tc>
          <w:tcPr>
            <w:tcW w:w="2940" w:type="dxa"/>
            <w:shd w:val="clear" w:color="auto" w:fill="auto"/>
          </w:tcPr>
          <w:p w:rsidR="00BC4C86" w:rsidRDefault="00BC4C86" w:rsidP="00156BB1">
            <w:pPr>
              <w:rPr>
                <w:b/>
              </w:rPr>
            </w:pPr>
            <w:r>
              <w:rPr>
                <w:b/>
              </w:rPr>
              <w:t xml:space="preserve">PPA </w:t>
            </w:r>
          </w:p>
        </w:tc>
        <w:tc>
          <w:tcPr>
            <w:tcW w:w="6283" w:type="dxa"/>
            <w:shd w:val="clear" w:color="auto" w:fill="auto"/>
          </w:tcPr>
          <w:p w:rsidR="00BC4C86" w:rsidRPr="006F10C6" w:rsidRDefault="00533D8B" w:rsidP="00156BB1">
            <w:r w:rsidRPr="006F10C6">
              <w:t>Wingecarribee Shire Council</w:t>
            </w:r>
          </w:p>
        </w:tc>
      </w:tr>
      <w:tr w:rsidR="00BC4C86" w:rsidRPr="00F22923" w:rsidTr="00156BB1">
        <w:trPr>
          <w:trHeight w:val="273"/>
        </w:trPr>
        <w:tc>
          <w:tcPr>
            <w:tcW w:w="2940" w:type="dxa"/>
            <w:shd w:val="clear" w:color="auto" w:fill="auto"/>
          </w:tcPr>
          <w:p w:rsidR="00BC4C86" w:rsidRPr="00F22923" w:rsidRDefault="00BC4C86" w:rsidP="00156BB1">
            <w:pPr>
              <w:rPr>
                <w:rFonts w:cs="Arial"/>
                <w:szCs w:val="22"/>
              </w:rPr>
            </w:pPr>
            <w:r>
              <w:rPr>
                <w:b/>
              </w:rPr>
              <w:t>NAME</w:t>
            </w:r>
          </w:p>
        </w:tc>
        <w:tc>
          <w:tcPr>
            <w:tcW w:w="6283" w:type="dxa"/>
            <w:shd w:val="clear" w:color="auto" w:fill="auto"/>
          </w:tcPr>
          <w:p w:rsidR="00556FC1" w:rsidRDefault="00533D8B" w:rsidP="00156BB1">
            <w:r w:rsidRPr="006F10C6">
              <w:t>To remove the O</w:t>
            </w:r>
            <w:r w:rsidR="00A14A6A">
              <w:t xml:space="preserve">ur </w:t>
            </w:r>
            <w:r w:rsidRPr="006F10C6">
              <w:t>L</w:t>
            </w:r>
            <w:r w:rsidR="00A14A6A">
              <w:t xml:space="preserve">ady of the </w:t>
            </w:r>
            <w:r w:rsidRPr="006F10C6">
              <w:t>S</w:t>
            </w:r>
            <w:r w:rsidR="00A14A6A">
              <w:t xml:space="preserve">acred </w:t>
            </w:r>
            <w:r w:rsidRPr="006F10C6">
              <w:t>H</w:t>
            </w:r>
            <w:r w:rsidR="00A14A6A">
              <w:t>eart (OLSH)</w:t>
            </w:r>
            <w:r w:rsidRPr="006F10C6">
              <w:t xml:space="preserve"> site </w:t>
            </w:r>
            <w:r w:rsidR="00C26675" w:rsidRPr="006F10C6">
              <w:t>from Schedule 1 (</w:t>
            </w:r>
            <w:r w:rsidR="0091773A" w:rsidRPr="006F10C6">
              <w:t>Seniors Housing</w:t>
            </w:r>
            <w:r w:rsidR="00C26675" w:rsidRPr="006F10C6">
              <w:t>)</w:t>
            </w:r>
            <w:r w:rsidR="0091773A" w:rsidRPr="006F10C6">
              <w:t xml:space="preserve"> and from the Land Reservation Acquisitions map.</w:t>
            </w:r>
            <w:r w:rsidR="004549AE">
              <w:t xml:space="preserve"> </w:t>
            </w:r>
          </w:p>
          <w:p w:rsidR="00BC4C86" w:rsidRPr="006F10C6" w:rsidRDefault="004549AE" w:rsidP="00156BB1">
            <w:pPr>
              <w:rPr>
                <w:rFonts w:cs="Arial"/>
                <w:szCs w:val="22"/>
              </w:rPr>
            </w:pPr>
            <w:r>
              <w:t>L</w:t>
            </w:r>
            <w:r w:rsidR="00C26675" w:rsidRPr="006F10C6">
              <w:t xml:space="preserve">oss of </w:t>
            </w:r>
            <w:r>
              <w:t>135</w:t>
            </w:r>
            <w:r w:rsidR="00C26675" w:rsidRPr="006F10C6">
              <w:t xml:space="preserve"> </w:t>
            </w:r>
            <w:r w:rsidR="00556FC1">
              <w:t xml:space="preserve">independent </w:t>
            </w:r>
            <w:r w:rsidR="00D371EA">
              <w:t>s</w:t>
            </w:r>
            <w:r w:rsidR="00C26675" w:rsidRPr="006F10C6">
              <w:t>eniors dwellings</w:t>
            </w:r>
            <w:r w:rsidR="00176744" w:rsidRPr="006F10C6">
              <w:t>.</w:t>
            </w:r>
            <w:r w:rsidR="00C26675" w:rsidRPr="006F10C6">
              <w:t xml:space="preserve"> </w:t>
            </w:r>
            <w:r w:rsidR="00556FC1">
              <w:t xml:space="preserve">Loss of </w:t>
            </w:r>
            <w:r>
              <w:t>30 jobs</w:t>
            </w:r>
            <w:r w:rsidR="00892188">
              <w:t xml:space="preserve"> (</w:t>
            </w:r>
            <w:r w:rsidR="00F74420">
              <w:t>based on the information provided in the current DA before Council)</w:t>
            </w:r>
            <w:r>
              <w:t>.</w:t>
            </w:r>
          </w:p>
        </w:tc>
      </w:tr>
      <w:tr w:rsidR="00BC4C86" w:rsidRPr="00F22923" w:rsidTr="00156BB1">
        <w:trPr>
          <w:trHeight w:val="273"/>
        </w:trPr>
        <w:tc>
          <w:tcPr>
            <w:tcW w:w="2940" w:type="dxa"/>
            <w:shd w:val="clear" w:color="auto" w:fill="auto"/>
          </w:tcPr>
          <w:p w:rsidR="00BC4C86" w:rsidRPr="00F22923" w:rsidRDefault="00BC4C86" w:rsidP="00156BB1">
            <w:pPr>
              <w:rPr>
                <w:rFonts w:cs="Arial"/>
                <w:szCs w:val="22"/>
              </w:rPr>
            </w:pPr>
            <w:r>
              <w:rPr>
                <w:b/>
              </w:rPr>
              <w:t>NUMBER</w:t>
            </w:r>
          </w:p>
        </w:tc>
        <w:tc>
          <w:tcPr>
            <w:tcW w:w="6283" w:type="dxa"/>
            <w:shd w:val="clear" w:color="auto" w:fill="auto"/>
          </w:tcPr>
          <w:p w:rsidR="00BC4C86" w:rsidRPr="006F10C6" w:rsidRDefault="00880FD3" w:rsidP="00156BB1">
            <w:r>
              <w:t>PP_2018_WINGE_003</w:t>
            </w:r>
            <w:r w:rsidR="005E471B" w:rsidRPr="006F10C6">
              <w:t xml:space="preserve">_00 </w:t>
            </w:r>
          </w:p>
        </w:tc>
      </w:tr>
      <w:tr w:rsidR="00BC4C86" w:rsidRPr="00F22923" w:rsidTr="00156BB1">
        <w:trPr>
          <w:trHeight w:val="273"/>
        </w:trPr>
        <w:tc>
          <w:tcPr>
            <w:tcW w:w="2940" w:type="dxa"/>
            <w:shd w:val="clear" w:color="auto" w:fill="auto"/>
          </w:tcPr>
          <w:p w:rsidR="00BC4C86" w:rsidRDefault="00BC4C86" w:rsidP="00156BB1">
            <w:pPr>
              <w:rPr>
                <w:b/>
              </w:rPr>
            </w:pPr>
            <w:r>
              <w:rPr>
                <w:b/>
              </w:rPr>
              <w:t xml:space="preserve">LEP TO BE AMENDED  </w:t>
            </w:r>
          </w:p>
        </w:tc>
        <w:tc>
          <w:tcPr>
            <w:tcW w:w="6283" w:type="dxa"/>
            <w:shd w:val="clear" w:color="auto" w:fill="auto"/>
          </w:tcPr>
          <w:p w:rsidR="00BC4C86" w:rsidRPr="006F10C6" w:rsidRDefault="005E471B" w:rsidP="00156BB1">
            <w:r w:rsidRPr="006F10C6">
              <w:t>Wingecarribee LEP 2010</w:t>
            </w:r>
          </w:p>
        </w:tc>
      </w:tr>
      <w:tr w:rsidR="00BC4C86" w:rsidRPr="00F22923" w:rsidTr="00156BB1">
        <w:trPr>
          <w:trHeight w:val="273"/>
        </w:trPr>
        <w:tc>
          <w:tcPr>
            <w:tcW w:w="2940" w:type="dxa"/>
            <w:shd w:val="clear" w:color="auto" w:fill="auto"/>
          </w:tcPr>
          <w:p w:rsidR="00BC4C86" w:rsidRPr="005A57A7" w:rsidRDefault="00BC4C86" w:rsidP="00156BB1">
            <w:pPr>
              <w:rPr>
                <w:b/>
              </w:rPr>
            </w:pPr>
            <w:r w:rsidRPr="00F22923">
              <w:rPr>
                <w:b/>
              </w:rPr>
              <w:t>ADDRESS</w:t>
            </w:r>
          </w:p>
        </w:tc>
        <w:tc>
          <w:tcPr>
            <w:tcW w:w="6283" w:type="dxa"/>
            <w:shd w:val="clear" w:color="auto" w:fill="auto"/>
          </w:tcPr>
          <w:p w:rsidR="00BC4C86" w:rsidRPr="006F10C6" w:rsidRDefault="002F58FA" w:rsidP="00156BB1">
            <w:r>
              <w:t>2-18</w:t>
            </w:r>
            <w:r w:rsidR="005E471B" w:rsidRPr="006F10C6">
              <w:t xml:space="preserve"> Centennial Road, Bowral</w:t>
            </w:r>
          </w:p>
        </w:tc>
      </w:tr>
      <w:tr w:rsidR="00BC4C86" w:rsidRPr="00F22923" w:rsidTr="00156BB1">
        <w:trPr>
          <w:trHeight w:val="273"/>
        </w:trPr>
        <w:tc>
          <w:tcPr>
            <w:tcW w:w="2940" w:type="dxa"/>
            <w:shd w:val="clear" w:color="auto" w:fill="auto"/>
          </w:tcPr>
          <w:p w:rsidR="00BC4C86" w:rsidRPr="00F22923" w:rsidRDefault="00BC4C86" w:rsidP="00156BB1">
            <w:pPr>
              <w:rPr>
                <w:b/>
              </w:rPr>
            </w:pPr>
            <w:r>
              <w:rPr>
                <w:b/>
              </w:rPr>
              <w:t>DESCRIPTION</w:t>
            </w:r>
          </w:p>
        </w:tc>
        <w:tc>
          <w:tcPr>
            <w:tcW w:w="6283" w:type="dxa"/>
            <w:shd w:val="clear" w:color="auto" w:fill="auto"/>
          </w:tcPr>
          <w:p w:rsidR="00BC4C86" w:rsidRPr="006F10C6" w:rsidRDefault="005E471B" w:rsidP="00156BB1">
            <w:r w:rsidRPr="006F10C6">
              <w:t>Lots 4-11, DP 1109214 and Lots 1 and 2, DP 1101892</w:t>
            </w:r>
          </w:p>
        </w:tc>
      </w:tr>
      <w:tr w:rsidR="00BC4C86" w:rsidRPr="00F22923" w:rsidTr="00156BB1">
        <w:trPr>
          <w:trHeight w:val="288"/>
        </w:trPr>
        <w:tc>
          <w:tcPr>
            <w:tcW w:w="2940" w:type="dxa"/>
            <w:shd w:val="clear" w:color="auto" w:fill="auto"/>
          </w:tcPr>
          <w:p w:rsidR="00BC4C86" w:rsidRPr="00F22923" w:rsidRDefault="00BC4C86" w:rsidP="00156BB1">
            <w:pPr>
              <w:rPr>
                <w:b/>
              </w:rPr>
            </w:pPr>
            <w:r>
              <w:rPr>
                <w:b/>
              </w:rPr>
              <w:t>RECEIVED</w:t>
            </w:r>
          </w:p>
        </w:tc>
        <w:tc>
          <w:tcPr>
            <w:tcW w:w="6283" w:type="dxa"/>
            <w:shd w:val="clear" w:color="auto" w:fill="auto"/>
          </w:tcPr>
          <w:p w:rsidR="00BC4C86" w:rsidRPr="006F10C6" w:rsidRDefault="006F10C6" w:rsidP="00156BB1">
            <w:r w:rsidRPr="006F10C6">
              <w:t>Additional information to Planning Proposal received 16 February 2018</w:t>
            </w:r>
          </w:p>
        </w:tc>
      </w:tr>
      <w:tr w:rsidR="00BC4C86" w:rsidRPr="00F22923" w:rsidTr="00156BB1">
        <w:trPr>
          <w:trHeight w:val="273"/>
        </w:trPr>
        <w:tc>
          <w:tcPr>
            <w:tcW w:w="2940" w:type="dxa"/>
            <w:shd w:val="clear" w:color="auto" w:fill="auto"/>
          </w:tcPr>
          <w:p w:rsidR="00BC4C86" w:rsidRDefault="00BC4C86" w:rsidP="00156BB1">
            <w:pPr>
              <w:rPr>
                <w:b/>
              </w:rPr>
            </w:pPr>
            <w:r>
              <w:rPr>
                <w:b/>
              </w:rPr>
              <w:t>FILE NO.</w:t>
            </w:r>
          </w:p>
        </w:tc>
        <w:tc>
          <w:tcPr>
            <w:tcW w:w="6283" w:type="dxa"/>
            <w:shd w:val="clear" w:color="auto" w:fill="auto"/>
          </w:tcPr>
          <w:p w:rsidR="00BC4C86" w:rsidRPr="006F10C6" w:rsidRDefault="00BC4C86" w:rsidP="00156BB1">
            <w:r w:rsidRPr="006F10C6">
              <w:t>IRF18/</w:t>
            </w:r>
            <w:r w:rsidR="006F10C6" w:rsidRPr="006F10C6">
              <w:t>3873</w:t>
            </w:r>
            <w:r w:rsidR="00D7491C">
              <w:t xml:space="preserve"> IRD18/13445</w:t>
            </w:r>
          </w:p>
        </w:tc>
      </w:tr>
      <w:tr w:rsidR="00BC4C86" w:rsidRPr="00F22923" w:rsidTr="00156BB1">
        <w:trPr>
          <w:trHeight w:val="819"/>
        </w:trPr>
        <w:tc>
          <w:tcPr>
            <w:tcW w:w="2940" w:type="dxa"/>
            <w:shd w:val="clear" w:color="auto" w:fill="auto"/>
          </w:tcPr>
          <w:p w:rsidR="00BC4C86" w:rsidRPr="00B7424A" w:rsidRDefault="00BC4C86" w:rsidP="00156BB1">
            <w:pPr>
              <w:rPr>
                <w:b/>
                <w:szCs w:val="24"/>
              </w:rPr>
            </w:pPr>
            <w:r w:rsidRPr="00B7424A">
              <w:rPr>
                <w:b/>
                <w:szCs w:val="24"/>
              </w:rPr>
              <w:t>POLITICAL DONATION</w:t>
            </w:r>
            <w:r>
              <w:rPr>
                <w:b/>
                <w:szCs w:val="24"/>
              </w:rPr>
              <w:t>S</w:t>
            </w:r>
          </w:p>
        </w:tc>
        <w:tc>
          <w:tcPr>
            <w:tcW w:w="6283" w:type="dxa"/>
            <w:shd w:val="clear" w:color="auto" w:fill="auto"/>
          </w:tcPr>
          <w:p w:rsidR="00BC4C86" w:rsidRPr="006F10C6" w:rsidRDefault="00BC4C86" w:rsidP="00156BB1">
            <w:r w:rsidRPr="006F10C6">
              <w:rPr>
                <w:szCs w:val="24"/>
              </w:rPr>
              <w:t>There are no donations or gifts to disclose and a political dona</w:t>
            </w:r>
            <w:r w:rsidR="00A4744A">
              <w:rPr>
                <w:szCs w:val="24"/>
              </w:rPr>
              <w:t>tion disclosure is not required.</w:t>
            </w:r>
          </w:p>
        </w:tc>
      </w:tr>
      <w:tr w:rsidR="00BC4C86" w:rsidRPr="00F22923" w:rsidTr="00156BB1">
        <w:trPr>
          <w:trHeight w:val="1109"/>
        </w:trPr>
        <w:tc>
          <w:tcPr>
            <w:tcW w:w="2940" w:type="dxa"/>
            <w:shd w:val="clear" w:color="auto" w:fill="auto"/>
          </w:tcPr>
          <w:p w:rsidR="00BC4C86" w:rsidRPr="00B7424A" w:rsidRDefault="00BC4C86" w:rsidP="00156BB1">
            <w:pPr>
              <w:rPr>
                <w:b/>
                <w:szCs w:val="24"/>
              </w:rPr>
            </w:pPr>
            <w:r>
              <w:rPr>
                <w:b/>
                <w:szCs w:val="24"/>
              </w:rPr>
              <w:t>LOBBYIST CODE OF CONDUCT</w:t>
            </w:r>
          </w:p>
        </w:tc>
        <w:tc>
          <w:tcPr>
            <w:tcW w:w="6283" w:type="dxa"/>
            <w:shd w:val="clear" w:color="auto" w:fill="auto"/>
          </w:tcPr>
          <w:p w:rsidR="00BC4C86" w:rsidRPr="006F10C6" w:rsidRDefault="00BC4C86" w:rsidP="00156BB1">
            <w:r w:rsidRPr="006F10C6">
              <w:rPr>
                <w:szCs w:val="24"/>
              </w:rPr>
              <w:t xml:space="preserve">There have been no meetings or communications with registered lobbyists with respect to this proposal </w:t>
            </w:r>
          </w:p>
        </w:tc>
      </w:tr>
    </w:tbl>
    <w:p w:rsidR="00BC4C86" w:rsidRDefault="00BC4C86" w:rsidP="00BC4C86">
      <w:pPr>
        <w:tabs>
          <w:tab w:val="left" w:pos="2520"/>
        </w:tabs>
        <w:rPr>
          <w:rFonts w:cs="Arial"/>
          <w:b/>
        </w:rPr>
      </w:pP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t>INTRODUCTION</w:t>
      </w:r>
    </w:p>
    <w:p w:rsidR="00BC4C86" w:rsidRPr="00B472EE" w:rsidRDefault="00BC4C86" w:rsidP="00BC4C86">
      <w:pPr>
        <w:tabs>
          <w:tab w:val="left" w:pos="2520"/>
        </w:tabs>
        <w:spacing w:before="120" w:after="120"/>
        <w:rPr>
          <w:rFonts w:cs="Arial"/>
          <w:b/>
        </w:rPr>
      </w:pPr>
      <w:r w:rsidRPr="00B472EE">
        <w:rPr>
          <w:rFonts w:cs="Arial"/>
          <w:b/>
        </w:rPr>
        <w:t>Description of planning proposal</w:t>
      </w:r>
    </w:p>
    <w:p w:rsidR="00B521A5" w:rsidRPr="00556FC1" w:rsidRDefault="006F10C6" w:rsidP="00BC4C86">
      <w:pPr>
        <w:tabs>
          <w:tab w:val="left" w:pos="2520"/>
        </w:tabs>
        <w:spacing w:before="120" w:after="120"/>
        <w:rPr>
          <w:rFonts w:cs="Arial"/>
        </w:rPr>
      </w:pPr>
      <w:r w:rsidRPr="00556FC1">
        <w:rPr>
          <w:rFonts w:cs="Arial"/>
        </w:rPr>
        <w:t xml:space="preserve">The planning proposal seeks to remove </w:t>
      </w:r>
      <w:r w:rsidR="00616524">
        <w:rPr>
          <w:rFonts w:cs="Arial"/>
        </w:rPr>
        <w:t>Seniors H</w:t>
      </w:r>
      <w:r w:rsidR="008D15CB">
        <w:rPr>
          <w:rFonts w:cs="Arial"/>
        </w:rPr>
        <w:t>ousing</w:t>
      </w:r>
      <w:r w:rsidRPr="00556FC1">
        <w:rPr>
          <w:rFonts w:cs="Arial"/>
        </w:rPr>
        <w:t xml:space="preserve"> as a permissible </w:t>
      </w:r>
      <w:r w:rsidR="00052D23" w:rsidRPr="00556FC1">
        <w:rPr>
          <w:rFonts w:cs="Arial"/>
        </w:rPr>
        <w:t xml:space="preserve">use </w:t>
      </w:r>
      <w:r w:rsidR="00612EDF">
        <w:rPr>
          <w:rFonts w:cs="Arial"/>
        </w:rPr>
        <w:t xml:space="preserve">on </w:t>
      </w:r>
      <w:r w:rsidR="00B521A5" w:rsidRPr="00556FC1">
        <w:rPr>
          <w:rFonts w:cs="Arial"/>
        </w:rPr>
        <w:t>the</w:t>
      </w:r>
      <w:r w:rsidR="004549AE" w:rsidRPr="00556FC1">
        <w:rPr>
          <w:rFonts w:cs="Arial"/>
        </w:rPr>
        <w:t xml:space="preserve"> Our Lady of the Sacred Heart</w:t>
      </w:r>
      <w:r w:rsidR="00612EDF">
        <w:rPr>
          <w:rFonts w:cs="Arial"/>
        </w:rPr>
        <w:t xml:space="preserve"> (OLSH)</w:t>
      </w:r>
      <w:r w:rsidR="00B521A5" w:rsidRPr="00556FC1">
        <w:rPr>
          <w:rFonts w:cs="Arial"/>
        </w:rPr>
        <w:t xml:space="preserve"> site</w:t>
      </w:r>
      <w:r w:rsidR="00052D23" w:rsidRPr="00052D23">
        <w:rPr>
          <w:rFonts w:cs="Arial"/>
        </w:rPr>
        <w:t xml:space="preserve"> </w:t>
      </w:r>
      <w:r w:rsidR="00052D23">
        <w:rPr>
          <w:rFonts w:cs="Arial"/>
        </w:rPr>
        <w:t xml:space="preserve">under </w:t>
      </w:r>
      <w:r w:rsidR="00052D23" w:rsidRPr="00556FC1">
        <w:rPr>
          <w:rFonts w:cs="Arial"/>
        </w:rPr>
        <w:t>Schedule 1 of the Wingecarribee LEP 2010</w:t>
      </w:r>
      <w:r w:rsidR="00B521A5" w:rsidRPr="00556FC1">
        <w:rPr>
          <w:rFonts w:cs="Arial"/>
        </w:rPr>
        <w:t xml:space="preserve">, and remove the </w:t>
      </w:r>
      <w:r w:rsidR="004549AE" w:rsidRPr="00556FC1">
        <w:rPr>
          <w:rFonts w:cs="Arial"/>
        </w:rPr>
        <w:t>site from the Land Reservation</w:t>
      </w:r>
      <w:r w:rsidR="00612EDF">
        <w:rPr>
          <w:rFonts w:cs="Arial"/>
        </w:rPr>
        <w:t xml:space="preserve"> Acquisition</w:t>
      </w:r>
      <w:r w:rsidR="00B521A5" w:rsidRPr="00556FC1">
        <w:rPr>
          <w:rFonts w:cs="Arial"/>
        </w:rPr>
        <w:t xml:space="preserve"> Map. </w:t>
      </w:r>
    </w:p>
    <w:p w:rsidR="00BC4C86" w:rsidRPr="00556FC1" w:rsidRDefault="00BC4C86" w:rsidP="00BC4C86">
      <w:pPr>
        <w:tabs>
          <w:tab w:val="left" w:pos="2520"/>
        </w:tabs>
        <w:spacing w:before="120" w:after="120"/>
        <w:rPr>
          <w:rFonts w:cs="Arial"/>
          <w:b/>
        </w:rPr>
      </w:pPr>
      <w:r w:rsidRPr="00556FC1">
        <w:rPr>
          <w:rFonts w:cs="Arial"/>
          <w:b/>
        </w:rPr>
        <w:t>Site description</w:t>
      </w:r>
    </w:p>
    <w:p w:rsidR="003D6591" w:rsidRPr="00556FC1" w:rsidRDefault="006F10C6" w:rsidP="00BC4C86">
      <w:pPr>
        <w:tabs>
          <w:tab w:val="left" w:pos="2520"/>
        </w:tabs>
        <w:spacing w:before="120" w:after="120"/>
        <w:rPr>
          <w:rFonts w:cs="Arial"/>
        </w:rPr>
      </w:pPr>
      <w:r w:rsidRPr="00556FC1">
        <w:rPr>
          <w:rFonts w:cs="Arial"/>
        </w:rPr>
        <w:t>The</w:t>
      </w:r>
      <w:r w:rsidR="00D748C5">
        <w:rPr>
          <w:rFonts w:cs="Arial"/>
        </w:rPr>
        <w:t xml:space="preserve"> </w:t>
      </w:r>
      <w:r w:rsidR="00052D23">
        <w:rPr>
          <w:rFonts w:cs="Arial"/>
        </w:rPr>
        <w:t>sub</w:t>
      </w:r>
      <w:r w:rsidR="00D748C5">
        <w:rPr>
          <w:rFonts w:cs="Arial"/>
        </w:rPr>
        <w:t>ject land has an area of 17 hec</w:t>
      </w:r>
      <w:r w:rsidR="00052D23">
        <w:rPr>
          <w:rFonts w:cs="Arial"/>
        </w:rPr>
        <w:t>t</w:t>
      </w:r>
      <w:r w:rsidR="00D748C5">
        <w:rPr>
          <w:rFonts w:cs="Arial"/>
        </w:rPr>
        <w:t>a</w:t>
      </w:r>
      <w:r w:rsidR="007215C7">
        <w:rPr>
          <w:rFonts w:cs="Arial"/>
        </w:rPr>
        <w:t>res</w:t>
      </w:r>
      <w:r w:rsidR="00F74420">
        <w:rPr>
          <w:rFonts w:cs="Arial"/>
        </w:rPr>
        <w:t xml:space="preserve">, </w:t>
      </w:r>
      <w:r w:rsidR="00052D23">
        <w:rPr>
          <w:rFonts w:cs="Arial"/>
        </w:rPr>
        <w:t xml:space="preserve">is located </w:t>
      </w:r>
      <w:r w:rsidR="00D748C5">
        <w:rPr>
          <w:rFonts w:cs="Arial"/>
        </w:rPr>
        <w:t xml:space="preserve">on the western side of the main railway line </w:t>
      </w:r>
      <w:r w:rsidR="00133208" w:rsidRPr="00556FC1">
        <w:rPr>
          <w:rFonts w:cs="Arial"/>
        </w:rPr>
        <w:t xml:space="preserve">and is a former school site. </w:t>
      </w:r>
      <w:r w:rsidR="00B521A5" w:rsidRPr="00556FC1">
        <w:rPr>
          <w:rFonts w:cs="Arial"/>
        </w:rPr>
        <w:t>The site has well developed landscape features, including an open space area</w:t>
      </w:r>
      <w:r w:rsidR="004549AE" w:rsidRPr="00556FC1">
        <w:rPr>
          <w:rFonts w:cs="Arial"/>
        </w:rPr>
        <w:t>, an avenue of established trees, and a number of buildings that were part of the forme</w:t>
      </w:r>
      <w:r w:rsidR="00612EDF">
        <w:rPr>
          <w:rFonts w:cs="Arial"/>
        </w:rPr>
        <w:t>r Our Lady of the Sacred Heart S</w:t>
      </w:r>
      <w:r w:rsidR="004549AE" w:rsidRPr="00556FC1">
        <w:rPr>
          <w:rFonts w:cs="Arial"/>
        </w:rPr>
        <w:t>chool</w:t>
      </w:r>
      <w:r w:rsidR="00B521A5" w:rsidRPr="00556FC1">
        <w:rPr>
          <w:rFonts w:cs="Arial"/>
        </w:rPr>
        <w:t>.</w:t>
      </w:r>
      <w:r w:rsidR="003D6591" w:rsidRPr="00556FC1">
        <w:rPr>
          <w:rFonts w:cs="Arial"/>
        </w:rPr>
        <w:t xml:space="preserve"> </w:t>
      </w:r>
    </w:p>
    <w:p w:rsidR="008F5940" w:rsidRDefault="003D6591" w:rsidP="00BC4C86">
      <w:pPr>
        <w:tabs>
          <w:tab w:val="left" w:pos="2520"/>
        </w:tabs>
        <w:spacing w:before="120" w:after="120"/>
        <w:rPr>
          <w:rFonts w:cs="Arial"/>
          <w:b/>
        </w:rPr>
      </w:pPr>
      <w:r>
        <w:rPr>
          <w:noProof/>
        </w:rPr>
        <w:lastRenderedPageBreak/>
        <w:drawing>
          <wp:inline distT="0" distB="0" distL="0" distR="0" wp14:anchorId="550743F4" wp14:editId="00877521">
            <wp:extent cx="4848225" cy="41580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1409" cy="4169363"/>
                    </a:xfrm>
                    <a:prstGeom prst="rect">
                      <a:avLst/>
                    </a:prstGeom>
                  </pic:spPr>
                </pic:pic>
              </a:graphicData>
            </a:graphic>
          </wp:inline>
        </w:drawing>
      </w:r>
      <w:r w:rsidR="00B521A5">
        <w:rPr>
          <w:rFonts w:cs="Arial"/>
          <w:color w:val="FF0000"/>
        </w:rPr>
        <w:t xml:space="preserve"> </w:t>
      </w:r>
    </w:p>
    <w:p w:rsidR="008F5940" w:rsidRPr="008F5940" w:rsidRDefault="008F5940" w:rsidP="00BC4C86">
      <w:pPr>
        <w:tabs>
          <w:tab w:val="left" w:pos="2520"/>
        </w:tabs>
        <w:spacing w:before="120" w:after="120"/>
        <w:rPr>
          <w:rFonts w:cs="Arial"/>
          <w:b/>
          <w:sz w:val="22"/>
          <w:szCs w:val="22"/>
        </w:rPr>
      </w:pPr>
      <w:r w:rsidRPr="008F5940">
        <w:rPr>
          <w:rFonts w:cs="Arial"/>
          <w:b/>
          <w:sz w:val="22"/>
          <w:szCs w:val="22"/>
        </w:rPr>
        <w:t>Figure 1- Subject Land</w:t>
      </w:r>
      <w:r w:rsidR="00F74420">
        <w:rPr>
          <w:rFonts w:cs="Arial"/>
          <w:b/>
          <w:sz w:val="22"/>
          <w:szCs w:val="22"/>
        </w:rPr>
        <w:t xml:space="preserve"> (Source- Council Planning Proposal, pg 4)</w:t>
      </w:r>
    </w:p>
    <w:p w:rsidR="00E50415" w:rsidRDefault="00E50415" w:rsidP="00BC4C86">
      <w:pPr>
        <w:tabs>
          <w:tab w:val="left" w:pos="2520"/>
        </w:tabs>
        <w:spacing w:before="120" w:after="120"/>
        <w:rPr>
          <w:rFonts w:cs="Arial"/>
          <w:b/>
        </w:rPr>
      </w:pPr>
    </w:p>
    <w:p w:rsidR="00BC4C86" w:rsidRDefault="00BC4C86" w:rsidP="00BC4C86">
      <w:pPr>
        <w:tabs>
          <w:tab w:val="left" w:pos="2520"/>
        </w:tabs>
        <w:spacing w:before="120" w:after="120"/>
        <w:rPr>
          <w:rFonts w:cs="Arial"/>
          <w:b/>
        </w:rPr>
      </w:pPr>
      <w:r w:rsidRPr="00B472EE">
        <w:rPr>
          <w:rFonts w:cs="Arial"/>
          <w:b/>
        </w:rPr>
        <w:t>Existing planning controls</w:t>
      </w:r>
    </w:p>
    <w:p w:rsidR="004549AE" w:rsidRDefault="00B521A5" w:rsidP="00BC4C86">
      <w:pPr>
        <w:tabs>
          <w:tab w:val="left" w:pos="2520"/>
        </w:tabs>
        <w:spacing w:before="120" w:after="120"/>
        <w:rPr>
          <w:rFonts w:cs="Arial"/>
        </w:rPr>
      </w:pPr>
      <w:r w:rsidRPr="00B521A5">
        <w:rPr>
          <w:rFonts w:cs="Arial"/>
        </w:rPr>
        <w:t>The site is zoned R5 Large Lot Residential, with a minimum lot size of 4,000m2</w:t>
      </w:r>
      <w:r w:rsidR="003B335C">
        <w:rPr>
          <w:rFonts w:cs="Arial"/>
        </w:rPr>
        <w:t xml:space="preserve"> with a portion of the site zoned RE1 Public Recreation in the Wingecarribee LEP 2010. </w:t>
      </w:r>
      <w:r w:rsidRPr="00B521A5">
        <w:rPr>
          <w:rFonts w:cs="Arial"/>
        </w:rPr>
        <w:t xml:space="preserve"> </w:t>
      </w:r>
      <w:r w:rsidR="001330EC">
        <w:rPr>
          <w:rFonts w:cs="Arial"/>
        </w:rPr>
        <w:t xml:space="preserve">An interim Heritage Order has been issued </w:t>
      </w:r>
      <w:r w:rsidR="007215C7">
        <w:rPr>
          <w:rFonts w:cs="Arial"/>
        </w:rPr>
        <w:t xml:space="preserve">by Council under Section 25 of the </w:t>
      </w:r>
      <w:r w:rsidR="007215C7" w:rsidRPr="007215C7">
        <w:rPr>
          <w:rFonts w:cs="Arial"/>
          <w:i/>
        </w:rPr>
        <w:t>Heritage Act 1977</w:t>
      </w:r>
      <w:r w:rsidR="007215C7">
        <w:rPr>
          <w:rFonts w:cs="Arial"/>
        </w:rPr>
        <w:t xml:space="preserve"> </w:t>
      </w:r>
      <w:r w:rsidR="001330EC">
        <w:rPr>
          <w:rFonts w:cs="Arial"/>
        </w:rPr>
        <w:t xml:space="preserve">for the </w:t>
      </w:r>
      <w:r w:rsidR="007215C7">
        <w:rPr>
          <w:rFonts w:cs="Arial"/>
        </w:rPr>
        <w:t xml:space="preserve">entire </w:t>
      </w:r>
      <w:r w:rsidR="001330EC">
        <w:rPr>
          <w:rFonts w:cs="Arial"/>
        </w:rPr>
        <w:t>site which was gazetted on the 19</w:t>
      </w:r>
      <w:r w:rsidR="001330EC" w:rsidRPr="001330EC">
        <w:rPr>
          <w:rFonts w:cs="Arial"/>
          <w:vertAlign w:val="superscript"/>
        </w:rPr>
        <w:t>th</w:t>
      </w:r>
      <w:r w:rsidR="001330EC">
        <w:rPr>
          <w:rFonts w:cs="Arial"/>
        </w:rPr>
        <w:t xml:space="preserve"> January 2018. </w:t>
      </w:r>
    </w:p>
    <w:p w:rsidR="001330EC" w:rsidRPr="00464AB0" w:rsidRDefault="00B521A5" w:rsidP="00BC4C86">
      <w:pPr>
        <w:tabs>
          <w:tab w:val="left" w:pos="2520"/>
        </w:tabs>
        <w:spacing w:before="120" w:after="120"/>
        <w:rPr>
          <w:rFonts w:cs="Arial"/>
        </w:rPr>
      </w:pPr>
      <w:bookmarkStart w:id="1" w:name="_Hlk509922781"/>
      <w:r>
        <w:rPr>
          <w:rFonts w:cs="Arial"/>
        </w:rPr>
        <w:t xml:space="preserve">A Site </w:t>
      </w:r>
      <w:r w:rsidR="003B335C">
        <w:rPr>
          <w:rFonts w:cs="Arial"/>
        </w:rPr>
        <w:t>Compatibility</w:t>
      </w:r>
      <w:r>
        <w:rPr>
          <w:rFonts w:cs="Arial"/>
        </w:rPr>
        <w:t xml:space="preserve"> Certificate</w:t>
      </w:r>
      <w:r w:rsidR="00687E26">
        <w:rPr>
          <w:rFonts w:cs="Arial"/>
        </w:rPr>
        <w:t xml:space="preserve">(SCC) for Seniors housing </w:t>
      </w:r>
      <w:r>
        <w:rPr>
          <w:rFonts w:cs="Arial"/>
        </w:rPr>
        <w:t xml:space="preserve">was issued for the site in </w:t>
      </w:r>
      <w:r w:rsidRPr="00464AB0">
        <w:rPr>
          <w:rFonts w:cs="Arial"/>
        </w:rPr>
        <w:t xml:space="preserve">2007. </w:t>
      </w:r>
      <w:bookmarkStart w:id="2" w:name="_Hlk509922969"/>
      <w:r w:rsidR="00687E26">
        <w:rPr>
          <w:rFonts w:cs="Arial"/>
        </w:rPr>
        <w:t xml:space="preserve">The proposal at the time the SCC was issued was for 160 independent living dwellings and </w:t>
      </w:r>
      <w:r w:rsidR="008777C0">
        <w:rPr>
          <w:rFonts w:cs="Arial"/>
        </w:rPr>
        <w:t xml:space="preserve">a 102 </w:t>
      </w:r>
      <w:r w:rsidR="00687E26">
        <w:rPr>
          <w:rFonts w:cs="Arial"/>
        </w:rPr>
        <w:t xml:space="preserve">bed residential care facility. </w:t>
      </w:r>
      <w:r w:rsidRPr="00464AB0">
        <w:rPr>
          <w:rFonts w:cs="Arial"/>
        </w:rPr>
        <w:t xml:space="preserve">At the time of the </w:t>
      </w:r>
      <w:r w:rsidR="00687E26">
        <w:rPr>
          <w:rFonts w:cs="Arial"/>
        </w:rPr>
        <w:t xml:space="preserve">SCC </w:t>
      </w:r>
      <w:r w:rsidRPr="00464AB0">
        <w:rPr>
          <w:rFonts w:cs="Arial"/>
        </w:rPr>
        <w:t>being issued, the site was zoned prima</w:t>
      </w:r>
      <w:r w:rsidR="003B335C" w:rsidRPr="00464AB0">
        <w:rPr>
          <w:rFonts w:cs="Arial"/>
        </w:rPr>
        <w:t xml:space="preserve">rily for </w:t>
      </w:r>
      <w:r w:rsidR="008F29DF">
        <w:rPr>
          <w:rFonts w:cs="Arial"/>
        </w:rPr>
        <w:t>special uses (</w:t>
      </w:r>
      <w:r w:rsidR="000E59E4">
        <w:rPr>
          <w:rFonts w:cs="Arial"/>
        </w:rPr>
        <w:t xml:space="preserve">5(a) </w:t>
      </w:r>
      <w:r w:rsidR="002F3937">
        <w:rPr>
          <w:rFonts w:cs="Arial"/>
        </w:rPr>
        <w:t xml:space="preserve">School), </w:t>
      </w:r>
      <w:r w:rsidR="000E59E4">
        <w:rPr>
          <w:rFonts w:cs="Arial"/>
        </w:rPr>
        <w:t xml:space="preserve">and </w:t>
      </w:r>
      <w:r w:rsidR="003B335C" w:rsidRPr="00464AB0">
        <w:rPr>
          <w:rFonts w:cs="Arial"/>
        </w:rPr>
        <w:t xml:space="preserve">urban areas </w:t>
      </w:r>
      <w:r w:rsidR="000E59E4">
        <w:rPr>
          <w:rFonts w:cs="Arial"/>
        </w:rPr>
        <w:t>(2(a1) Residential).</w:t>
      </w:r>
      <w:r w:rsidR="000E59E4" w:rsidRPr="00464AB0">
        <w:rPr>
          <w:rFonts w:cs="Arial"/>
        </w:rPr>
        <w:t xml:space="preserve"> </w:t>
      </w:r>
      <w:r w:rsidR="008D15CB">
        <w:rPr>
          <w:rFonts w:cs="Arial"/>
        </w:rPr>
        <w:t>Seniors housing</w:t>
      </w:r>
      <w:r w:rsidRPr="00464AB0">
        <w:rPr>
          <w:rFonts w:cs="Arial"/>
        </w:rPr>
        <w:t xml:space="preserve"> was permissible on the site under the then </w:t>
      </w:r>
      <w:r w:rsidR="008D15CB">
        <w:rPr>
          <w:rFonts w:cs="Arial"/>
        </w:rPr>
        <w:t>Seniors housing</w:t>
      </w:r>
      <w:r w:rsidRPr="00464AB0">
        <w:rPr>
          <w:rFonts w:cs="Arial"/>
        </w:rPr>
        <w:t xml:space="preserve"> SEPP.</w:t>
      </w:r>
      <w:bookmarkEnd w:id="2"/>
    </w:p>
    <w:p w:rsidR="007215C7" w:rsidRDefault="001330EC" w:rsidP="00BC4C86">
      <w:pPr>
        <w:tabs>
          <w:tab w:val="left" w:pos="2520"/>
        </w:tabs>
        <w:spacing w:before="120" w:after="120"/>
        <w:rPr>
          <w:rFonts w:cs="Arial"/>
        </w:rPr>
      </w:pPr>
      <w:r w:rsidRPr="00464AB0">
        <w:rPr>
          <w:rFonts w:cs="Arial"/>
        </w:rPr>
        <w:t xml:space="preserve">The Department directed Council to include </w:t>
      </w:r>
      <w:r w:rsidR="008D15CB">
        <w:rPr>
          <w:rFonts w:cs="Arial"/>
        </w:rPr>
        <w:t>Seniors housing</w:t>
      </w:r>
      <w:r w:rsidRPr="00464AB0">
        <w:rPr>
          <w:rFonts w:cs="Arial"/>
        </w:rPr>
        <w:t xml:space="preserve"> in Schedule 1 at the time of the making of the standard template LEP</w:t>
      </w:r>
      <w:r w:rsidR="005B3BCC" w:rsidRPr="00464AB0">
        <w:rPr>
          <w:rFonts w:cs="Arial"/>
        </w:rPr>
        <w:t xml:space="preserve"> to ensure consistency with the former WLEP 1989</w:t>
      </w:r>
      <w:r w:rsidRPr="00464AB0">
        <w:rPr>
          <w:rFonts w:cs="Arial"/>
        </w:rPr>
        <w:t xml:space="preserve">. </w:t>
      </w:r>
      <w:r w:rsidR="008D15CB">
        <w:rPr>
          <w:rFonts w:cs="Arial"/>
        </w:rPr>
        <w:t>Seniors housing</w:t>
      </w:r>
      <w:r w:rsidR="007215C7">
        <w:rPr>
          <w:rFonts w:cs="Arial"/>
        </w:rPr>
        <w:t xml:space="preserve"> does not apply</w:t>
      </w:r>
      <w:r w:rsidR="007215C7" w:rsidRPr="00464AB0">
        <w:rPr>
          <w:rFonts w:cs="Arial"/>
        </w:rPr>
        <w:t xml:space="preserve"> under the </w:t>
      </w:r>
      <w:r w:rsidR="007215C7">
        <w:rPr>
          <w:rFonts w:cs="Arial"/>
        </w:rPr>
        <w:t>Seniors housing</w:t>
      </w:r>
      <w:r w:rsidR="007215C7" w:rsidRPr="00464AB0">
        <w:rPr>
          <w:rFonts w:cs="Arial"/>
        </w:rPr>
        <w:t xml:space="preserve"> SEPP</w:t>
      </w:r>
      <w:r w:rsidR="008777C0">
        <w:rPr>
          <w:rFonts w:cs="Arial"/>
        </w:rPr>
        <w:t xml:space="preserve"> as the area is identified as part of the Sydney Drinking Water catchment</w:t>
      </w:r>
      <w:r w:rsidR="007215C7">
        <w:rPr>
          <w:rFonts w:cs="Arial"/>
        </w:rPr>
        <w:t>.</w:t>
      </w:r>
    </w:p>
    <w:p w:rsidR="00BC4C86" w:rsidRPr="00464AB0" w:rsidRDefault="007215C7" w:rsidP="00BC4C86">
      <w:pPr>
        <w:tabs>
          <w:tab w:val="left" w:pos="2520"/>
        </w:tabs>
        <w:spacing w:before="120" w:after="120"/>
        <w:rPr>
          <w:rFonts w:cs="Arial"/>
        </w:rPr>
      </w:pPr>
      <w:r>
        <w:rPr>
          <w:rFonts w:cs="Arial"/>
        </w:rPr>
        <w:t>A development application for a seniors housing development was lodged on the site on the 22/12/2017</w:t>
      </w:r>
      <w:r w:rsidR="001330EC" w:rsidRPr="00464AB0">
        <w:rPr>
          <w:rFonts w:cs="Arial"/>
        </w:rPr>
        <w:t xml:space="preserve">. </w:t>
      </w:r>
      <w:r>
        <w:rPr>
          <w:rFonts w:cs="Arial"/>
        </w:rPr>
        <w:t xml:space="preserve">The Development application is proposing 135 free standing single level houses, supported by on site facilities and services located within a central building that is part of a proposed adaptive reuse of existing </w:t>
      </w:r>
      <w:r w:rsidR="00687E26">
        <w:rPr>
          <w:rFonts w:cs="Arial"/>
        </w:rPr>
        <w:t>buildings on site (</w:t>
      </w:r>
      <w:r>
        <w:rPr>
          <w:rFonts w:cs="Arial"/>
        </w:rPr>
        <w:t>Pg 16- Sta</w:t>
      </w:r>
      <w:r w:rsidR="00687E26">
        <w:rPr>
          <w:rFonts w:cs="Arial"/>
        </w:rPr>
        <w:t>t</w:t>
      </w:r>
      <w:r>
        <w:rPr>
          <w:rFonts w:cs="Arial"/>
        </w:rPr>
        <w:t>ement of Environmental Effects, December 2017, Lee Environmental Planning</w:t>
      </w:r>
      <w:r w:rsidR="00687E26">
        <w:rPr>
          <w:rFonts w:cs="Arial"/>
        </w:rPr>
        <w:t>)</w:t>
      </w:r>
      <w:r w:rsidR="008777C0">
        <w:rPr>
          <w:rFonts w:cs="Arial"/>
        </w:rPr>
        <w:t>.</w:t>
      </w:r>
    </w:p>
    <w:bookmarkEnd w:id="1"/>
    <w:p w:rsidR="008907F3" w:rsidRDefault="008907F3" w:rsidP="00BC4C86">
      <w:pPr>
        <w:tabs>
          <w:tab w:val="left" w:pos="2520"/>
        </w:tabs>
        <w:spacing w:before="120" w:after="120"/>
        <w:rPr>
          <w:rFonts w:cs="Arial"/>
          <w:b/>
        </w:rPr>
      </w:pPr>
    </w:p>
    <w:p w:rsidR="00BC4C86" w:rsidRPr="00464AB0" w:rsidRDefault="00BC4C86" w:rsidP="00BC4C86">
      <w:pPr>
        <w:tabs>
          <w:tab w:val="left" w:pos="2520"/>
        </w:tabs>
        <w:spacing w:before="120" w:after="120"/>
        <w:rPr>
          <w:rFonts w:cs="Arial"/>
          <w:b/>
        </w:rPr>
      </w:pPr>
      <w:r w:rsidRPr="00464AB0">
        <w:rPr>
          <w:rFonts w:cs="Arial"/>
          <w:b/>
        </w:rPr>
        <w:t>Surrounding area</w:t>
      </w:r>
    </w:p>
    <w:p w:rsidR="00DA1822" w:rsidRDefault="005B3BCC" w:rsidP="00BC4C86">
      <w:pPr>
        <w:tabs>
          <w:tab w:val="left" w:pos="2520"/>
        </w:tabs>
        <w:spacing w:before="120" w:after="120"/>
        <w:rPr>
          <w:rFonts w:cs="Arial"/>
        </w:rPr>
      </w:pPr>
      <w:r w:rsidRPr="00464AB0">
        <w:rPr>
          <w:rFonts w:cs="Arial"/>
        </w:rPr>
        <w:t xml:space="preserve">The site is </w:t>
      </w:r>
      <w:r w:rsidR="008777C0">
        <w:rPr>
          <w:rFonts w:cs="Arial"/>
        </w:rPr>
        <w:t xml:space="preserve">approximately </w:t>
      </w:r>
      <w:r w:rsidR="003235E0">
        <w:rPr>
          <w:rFonts w:cs="Arial"/>
        </w:rPr>
        <w:t>400 metres</w:t>
      </w:r>
      <w:r w:rsidRPr="00464AB0">
        <w:rPr>
          <w:rFonts w:cs="Arial"/>
        </w:rPr>
        <w:t xml:space="preserve"> </w:t>
      </w:r>
      <w:r w:rsidR="00A80EC4">
        <w:rPr>
          <w:rFonts w:cs="Arial"/>
        </w:rPr>
        <w:t>from</w:t>
      </w:r>
      <w:r w:rsidRPr="00464AB0">
        <w:rPr>
          <w:rFonts w:cs="Arial"/>
        </w:rPr>
        <w:t xml:space="preserve"> the commercial core of Bowral,</w:t>
      </w:r>
      <w:r w:rsidR="00556FC1">
        <w:rPr>
          <w:rFonts w:cs="Arial"/>
        </w:rPr>
        <w:t xml:space="preserve"> and </w:t>
      </w:r>
      <w:r w:rsidRPr="00464AB0">
        <w:rPr>
          <w:rFonts w:cs="Arial"/>
        </w:rPr>
        <w:t>adjoins open space and club facilities. The site is surrounded by well established dwelling</w:t>
      </w:r>
      <w:r w:rsidR="001D05FC" w:rsidRPr="00464AB0">
        <w:rPr>
          <w:rFonts w:cs="Arial"/>
        </w:rPr>
        <w:t>s</w:t>
      </w:r>
      <w:r w:rsidRPr="00464AB0">
        <w:rPr>
          <w:rFonts w:cs="Arial"/>
        </w:rPr>
        <w:t xml:space="preserve"> on large lots</w:t>
      </w:r>
      <w:r w:rsidR="004505BF" w:rsidRPr="00464AB0">
        <w:rPr>
          <w:rFonts w:cs="Arial"/>
        </w:rPr>
        <w:t>,</w:t>
      </w:r>
      <w:r w:rsidR="003D6591" w:rsidRPr="00464AB0">
        <w:rPr>
          <w:rFonts w:cs="Arial"/>
        </w:rPr>
        <w:t xml:space="preserve"> is cl</w:t>
      </w:r>
      <w:r w:rsidR="004505BF" w:rsidRPr="00464AB0">
        <w:rPr>
          <w:rFonts w:cs="Arial"/>
        </w:rPr>
        <w:t>ose to the Bowral train station</w:t>
      </w:r>
      <w:r w:rsidR="003D6591" w:rsidRPr="00464AB0">
        <w:rPr>
          <w:rFonts w:cs="Arial"/>
        </w:rPr>
        <w:t xml:space="preserve"> and a public golf course</w:t>
      </w:r>
      <w:r w:rsidR="004505BF" w:rsidRPr="00464AB0">
        <w:rPr>
          <w:rFonts w:cs="Arial"/>
        </w:rPr>
        <w:t xml:space="preserve">. </w:t>
      </w:r>
      <w:r w:rsidRPr="00464AB0">
        <w:rPr>
          <w:rFonts w:cs="Arial"/>
        </w:rPr>
        <w:t xml:space="preserve"> </w:t>
      </w:r>
      <w:r w:rsidR="00DA1822">
        <w:rPr>
          <w:rFonts w:cs="Arial"/>
        </w:rPr>
        <w:t>P</w:t>
      </w:r>
      <w:r w:rsidRPr="00464AB0">
        <w:rPr>
          <w:rFonts w:cs="Arial"/>
        </w:rPr>
        <w:t xml:space="preserve">edestrian access to the site across the railway line </w:t>
      </w:r>
      <w:r w:rsidR="00DA1822">
        <w:rPr>
          <w:rFonts w:cs="Arial"/>
        </w:rPr>
        <w:t xml:space="preserve">is available </w:t>
      </w:r>
      <w:r w:rsidR="00C277EB">
        <w:rPr>
          <w:rFonts w:cs="Arial"/>
        </w:rPr>
        <w:t>from</w:t>
      </w:r>
      <w:r w:rsidRPr="00464AB0">
        <w:rPr>
          <w:rFonts w:cs="Arial"/>
        </w:rPr>
        <w:t xml:space="preserve"> the commercial area of Bowral. Council has indicated that this access will be part of the East West cycleway and pedestrian access for Bowral. There is an established avenue of exotic trees, and open space adjacent to K</w:t>
      </w:r>
      <w:r w:rsidR="003D6591" w:rsidRPr="00464AB0">
        <w:rPr>
          <w:rFonts w:cs="Arial"/>
        </w:rPr>
        <w:t>irkham Road and the railway line.</w:t>
      </w:r>
      <w:r w:rsidR="002F3937">
        <w:rPr>
          <w:rFonts w:cs="Arial"/>
        </w:rPr>
        <w:t xml:space="preserve"> </w:t>
      </w:r>
    </w:p>
    <w:p w:rsidR="00BC4C86" w:rsidRPr="00464AB0" w:rsidRDefault="00BC4C86" w:rsidP="00BC4C86">
      <w:pPr>
        <w:tabs>
          <w:tab w:val="left" w:pos="2520"/>
        </w:tabs>
        <w:spacing w:before="120" w:after="120"/>
        <w:rPr>
          <w:rFonts w:cs="Arial"/>
          <w:b/>
        </w:rPr>
      </w:pPr>
      <w:r w:rsidRPr="00464AB0">
        <w:rPr>
          <w:rFonts w:cs="Arial"/>
          <w:b/>
        </w:rPr>
        <w:t>Summary of recommendation</w:t>
      </w:r>
    </w:p>
    <w:p w:rsidR="003D6591" w:rsidRPr="00464AB0" w:rsidRDefault="003D6591" w:rsidP="00BC4C86">
      <w:pPr>
        <w:tabs>
          <w:tab w:val="left" w:pos="2520"/>
        </w:tabs>
        <w:spacing w:before="120" w:after="120"/>
        <w:rPr>
          <w:rFonts w:cs="Arial"/>
        </w:rPr>
      </w:pPr>
      <w:r w:rsidRPr="00464AB0">
        <w:rPr>
          <w:rFonts w:cs="Arial"/>
        </w:rPr>
        <w:t>It is recommended that the planning proposal not proceed for the following reasons:</w:t>
      </w:r>
    </w:p>
    <w:p w:rsidR="00752E68" w:rsidRPr="007A4FC9" w:rsidRDefault="00752E68" w:rsidP="00752E68">
      <w:pPr>
        <w:tabs>
          <w:tab w:val="left" w:pos="2520"/>
        </w:tabs>
        <w:spacing w:before="120" w:after="120"/>
        <w:rPr>
          <w:rFonts w:cs="Arial"/>
        </w:rPr>
      </w:pPr>
      <w:bookmarkStart w:id="3" w:name="_Hlk509921155"/>
      <w:r w:rsidRPr="007A4FC9">
        <w:rPr>
          <w:rFonts w:cs="Arial"/>
        </w:rPr>
        <w:t>The planning propo</w:t>
      </w:r>
      <w:r>
        <w:rPr>
          <w:rFonts w:cs="Arial"/>
        </w:rPr>
        <w:t>sal is not supported to proceed for the following reasons:</w:t>
      </w:r>
      <w:r w:rsidRPr="007A4FC9">
        <w:rPr>
          <w:rFonts w:cs="Arial"/>
        </w:rPr>
        <w:t xml:space="preserve"> </w:t>
      </w:r>
    </w:p>
    <w:p w:rsidR="00752E68" w:rsidRDefault="00752E68" w:rsidP="00752E68">
      <w:pPr>
        <w:pStyle w:val="ListParagraph"/>
        <w:numPr>
          <w:ilvl w:val="0"/>
          <w:numId w:val="4"/>
        </w:numPr>
        <w:tabs>
          <w:tab w:val="left" w:pos="2520"/>
        </w:tabs>
        <w:spacing w:before="120" w:after="120"/>
        <w:rPr>
          <w:rFonts w:cs="Arial"/>
        </w:rPr>
      </w:pPr>
      <w:bookmarkStart w:id="4" w:name="_Hlk510008554"/>
      <w:r w:rsidRPr="007A4FC9">
        <w:rPr>
          <w:rFonts w:cs="Arial"/>
        </w:rPr>
        <w:t xml:space="preserve">The planning proposal </w:t>
      </w:r>
      <w:r w:rsidR="00DA1822">
        <w:rPr>
          <w:rFonts w:cs="Arial"/>
        </w:rPr>
        <w:t>removes</w:t>
      </w:r>
      <w:r w:rsidRPr="007A4FC9">
        <w:rPr>
          <w:rFonts w:cs="Arial"/>
        </w:rPr>
        <w:t xml:space="preserve"> the opportun</w:t>
      </w:r>
      <w:r w:rsidR="00DA1822">
        <w:rPr>
          <w:rFonts w:cs="Arial"/>
        </w:rPr>
        <w:t>ity to provide</w:t>
      </w:r>
      <w:r>
        <w:rPr>
          <w:rFonts w:cs="Arial"/>
        </w:rPr>
        <w:t xml:space="preserve"> seniors housing</w:t>
      </w:r>
      <w:r w:rsidRPr="007A4FC9">
        <w:rPr>
          <w:rFonts w:cs="Arial"/>
        </w:rPr>
        <w:t xml:space="preserve"> </w:t>
      </w:r>
      <w:r w:rsidR="00DA1822">
        <w:rPr>
          <w:rFonts w:cs="Arial"/>
        </w:rPr>
        <w:t xml:space="preserve">on the site which has been identified as being suitable for that use. </w:t>
      </w:r>
      <w:r w:rsidRPr="007A4FC9">
        <w:rPr>
          <w:rFonts w:cs="Arial"/>
        </w:rPr>
        <w:t xml:space="preserve">Continuity for seniors </w:t>
      </w:r>
      <w:r>
        <w:rPr>
          <w:rFonts w:cs="Arial"/>
        </w:rPr>
        <w:t xml:space="preserve">housing </w:t>
      </w:r>
      <w:r w:rsidRPr="007A4FC9">
        <w:rPr>
          <w:rFonts w:cs="Arial"/>
        </w:rPr>
        <w:t xml:space="preserve">on the site was secured through seniors </w:t>
      </w:r>
      <w:r>
        <w:rPr>
          <w:rFonts w:cs="Arial"/>
        </w:rPr>
        <w:t>housing</w:t>
      </w:r>
      <w:r w:rsidRPr="007A4FC9">
        <w:rPr>
          <w:rFonts w:cs="Arial"/>
        </w:rPr>
        <w:t xml:space="preserve"> </w:t>
      </w:r>
      <w:r w:rsidR="00DA1822">
        <w:rPr>
          <w:rFonts w:cs="Arial"/>
        </w:rPr>
        <w:t xml:space="preserve">being </w:t>
      </w:r>
      <w:r w:rsidRPr="007A4FC9">
        <w:rPr>
          <w:rFonts w:cs="Arial"/>
        </w:rPr>
        <w:t xml:space="preserve">a permitted use in Schedule 1 of the WLEP 2010. </w:t>
      </w:r>
    </w:p>
    <w:p w:rsidR="008907F3" w:rsidRPr="00134479" w:rsidRDefault="008907F3" w:rsidP="008907F3">
      <w:pPr>
        <w:pStyle w:val="ListParagraph"/>
        <w:numPr>
          <w:ilvl w:val="0"/>
          <w:numId w:val="4"/>
        </w:numPr>
      </w:pPr>
      <w:r w:rsidRPr="00134479">
        <w:rPr>
          <w:rFonts w:cs="Arial"/>
          <w:szCs w:val="24"/>
        </w:rPr>
        <w:t>Should the site be developed for large lot residential as allowed in the zone this would reduce the capacity for local economic benefits from new residents living in the area,</w:t>
      </w:r>
      <w:r>
        <w:rPr>
          <w:rFonts w:cs="Arial"/>
          <w:szCs w:val="24"/>
        </w:rPr>
        <w:t xml:space="preserve"> </w:t>
      </w:r>
      <w:r w:rsidRPr="00134479">
        <w:rPr>
          <w:rFonts w:cs="Arial"/>
          <w:szCs w:val="24"/>
        </w:rPr>
        <w:t xml:space="preserve">the loss of 30 direct jobs associated with the operation of seniors housing development on the site and </w:t>
      </w:r>
      <w:r w:rsidR="00C277EB">
        <w:rPr>
          <w:rFonts w:cs="Arial"/>
          <w:szCs w:val="24"/>
        </w:rPr>
        <w:t>reduced</w:t>
      </w:r>
      <w:r w:rsidRPr="00134479">
        <w:rPr>
          <w:rFonts w:cs="Arial"/>
          <w:szCs w:val="24"/>
        </w:rPr>
        <w:t xml:space="preserve"> construction related employment. </w:t>
      </w:r>
    </w:p>
    <w:p w:rsidR="00BE364F" w:rsidRDefault="00DA1822" w:rsidP="00752E68">
      <w:pPr>
        <w:pStyle w:val="ListParagraph"/>
        <w:numPr>
          <w:ilvl w:val="0"/>
          <w:numId w:val="4"/>
        </w:numPr>
        <w:tabs>
          <w:tab w:val="left" w:pos="2520"/>
        </w:tabs>
        <w:spacing w:before="120" w:after="120"/>
        <w:rPr>
          <w:rFonts w:cs="Arial"/>
        </w:rPr>
      </w:pPr>
      <w:r w:rsidRPr="00BE364F">
        <w:rPr>
          <w:rFonts w:cs="Arial"/>
        </w:rPr>
        <w:t>M</w:t>
      </w:r>
      <w:r w:rsidR="00752E68" w:rsidRPr="00BE364F">
        <w:rPr>
          <w:rFonts w:cs="Arial"/>
        </w:rPr>
        <w:t xml:space="preserve">ore than 27% of residents in the Wingecarribee Local Government Area </w:t>
      </w:r>
      <w:r w:rsidRPr="00BE364F">
        <w:rPr>
          <w:rFonts w:cs="Arial"/>
        </w:rPr>
        <w:t xml:space="preserve">are </w:t>
      </w:r>
      <w:r w:rsidR="00752E68" w:rsidRPr="00BE364F">
        <w:rPr>
          <w:rFonts w:cs="Arial"/>
        </w:rPr>
        <w:t>projected in the South East and Tablela</w:t>
      </w:r>
      <w:r w:rsidR="00BE364F" w:rsidRPr="00BE364F">
        <w:rPr>
          <w:rFonts w:cs="Arial"/>
        </w:rPr>
        <w:t>nds Regional Plan to be over 65 by 2036</w:t>
      </w:r>
      <w:r w:rsidR="00752E68" w:rsidRPr="00BE364F">
        <w:rPr>
          <w:rFonts w:cs="Arial"/>
        </w:rPr>
        <w:t xml:space="preserve">. The planning proposal if it proceeds will result in a net reduction in </w:t>
      </w:r>
      <w:r w:rsidR="00BE364F" w:rsidRPr="00BE364F">
        <w:rPr>
          <w:rFonts w:cs="Arial"/>
        </w:rPr>
        <w:t xml:space="preserve">the potential for seniors housing on a site that is suitable for that purpose. </w:t>
      </w:r>
    </w:p>
    <w:p w:rsidR="00752E68" w:rsidRDefault="00752E68" w:rsidP="00752E68">
      <w:pPr>
        <w:pStyle w:val="ListParagraph"/>
        <w:numPr>
          <w:ilvl w:val="0"/>
          <w:numId w:val="4"/>
        </w:numPr>
        <w:tabs>
          <w:tab w:val="left" w:pos="2520"/>
        </w:tabs>
        <w:spacing w:before="120" w:after="120"/>
        <w:rPr>
          <w:rFonts w:cs="Arial"/>
        </w:rPr>
      </w:pPr>
      <w:r w:rsidRPr="007A4FC9">
        <w:rPr>
          <w:rFonts w:cs="Arial"/>
        </w:rPr>
        <w:t xml:space="preserve">There is an active development application for Seniors Housing </w:t>
      </w:r>
      <w:r w:rsidR="00EC4C4F">
        <w:rPr>
          <w:rFonts w:cs="Arial"/>
          <w:szCs w:val="24"/>
        </w:rPr>
        <w:t>with an estimated cost of</w:t>
      </w:r>
      <w:r w:rsidR="00EC4C4F" w:rsidRPr="00134479">
        <w:rPr>
          <w:rFonts w:cs="Arial"/>
          <w:szCs w:val="24"/>
        </w:rPr>
        <w:t xml:space="preserve"> </w:t>
      </w:r>
      <w:r>
        <w:rPr>
          <w:rFonts w:cs="Arial"/>
        </w:rPr>
        <w:t xml:space="preserve">$37,642,000.00 </w:t>
      </w:r>
      <w:r w:rsidR="00C277EB">
        <w:rPr>
          <w:rFonts w:cs="Arial"/>
        </w:rPr>
        <w:t>(</w:t>
      </w:r>
      <w:r w:rsidRPr="007A4FC9">
        <w:rPr>
          <w:rFonts w:cs="Arial"/>
        </w:rPr>
        <w:t xml:space="preserve">135 </w:t>
      </w:r>
      <w:r>
        <w:rPr>
          <w:rFonts w:cs="Arial"/>
        </w:rPr>
        <w:t xml:space="preserve">independent </w:t>
      </w:r>
      <w:r w:rsidRPr="007A4FC9">
        <w:rPr>
          <w:rFonts w:cs="Arial"/>
        </w:rPr>
        <w:t xml:space="preserve">seniors dwellings </w:t>
      </w:r>
      <w:r w:rsidR="00C277EB">
        <w:rPr>
          <w:rFonts w:cs="Arial"/>
        </w:rPr>
        <w:t>on the site)</w:t>
      </w:r>
      <w:r>
        <w:rPr>
          <w:rFonts w:cs="Arial"/>
        </w:rPr>
        <w:t>.</w:t>
      </w:r>
    </w:p>
    <w:p w:rsidR="00752E68" w:rsidRDefault="00752E68" w:rsidP="00752E68">
      <w:pPr>
        <w:pStyle w:val="ListParagraph"/>
        <w:numPr>
          <w:ilvl w:val="0"/>
          <w:numId w:val="4"/>
        </w:numPr>
        <w:tabs>
          <w:tab w:val="left" w:pos="2520"/>
        </w:tabs>
        <w:spacing w:before="120" w:after="120"/>
        <w:rPr>
          <w:rFonts w:cs="Arial"/>
        </w:rPr>
      </w:pPr>
      <w:r w:rsidRPr="007A4FC9">
        <w:rPr>
          <w:rFonts w:cs="Arial"/>
        </w:rPr>
        <w:t xml:space="preserve">The planning proposal was not the subject of a study, or a strategic consideration of the best locations for seniors </w:t>
      </w:r>
      <w:r>
        <w:rPr>
          <w:rFonts w:cs="Arial"/>
        </w:rPr>
        <w:t xml:space="preserve">housing; </w:t>
      </w:r>
      <w:r w:rsidRPr="007A4FC9">
        <w:rPr>
          <w:rFonts w:cs="Arial"/>
        </w:rPr>
        <w:t xml:space="preserve">and </w:t>
      </w:r>
    </w:p>
    <w:p w:rsidR="00B16905" w:rsidRDefault="00752E68" w:rsidP="008907F3">
      <w:pPr>
        <w:pStyle w:val="ListParagraph"/>
        <w:numPr>
          <w:ilvl w:val="0"/>
          <w:numId w:val="4"/>
        </w:numPr>
        <w:tabs>
          <w:tab w:val="left" w:pos="2520"/>
        </w:tabs>
        <w:spacing w:before="120" w:after="120"/>
        <w:rPr>
          <w:rFonts w:cs="Arial"/>
        </w:rPr>
      </w:pPr>
      <w:r>
        <w:rPr>
          <w:rFonts w:cs="Arial"/>
        </w:rPr>
        <w:t>N</w:t>
      </w:r>
      <w:r w:rsidRPr="007A4FC9">
        <w:rPr>
          <w:rFonts w:cs="Arial"/>
        </w:rPr>
        <w:t>o strategic justification has been provided that addresses inconsistencies with s 9.1 Directions</w:t>
      </w:r>
      <w:r>
        <w:rPr>
          <w:rFonts w:cs="Arial"/>
        </w:rPr>
        <w:t xml:space="preserve"> </w:t>
      </w:r>
      <w:r w:rsidR="00C277EB">
        <w:rPr>
          <w:rFonts w:cs="Arial"/>
          <w:szCs w:val="24"/>
        </w:rPr>
        <w:t>3.1 Residential Zone</w:t>
      </w:r>
      <w:r w:rsidRPr="006A7E0A">
        <w:rPr>
          <w:rFonts w:cs="Arial"/>
          <w:szCs w:val="24"/>
        </w:rPr>
        <w:t xml:space="preserve"> and 5.10 Implementation of Regional Plans</w:t>
      </w:r>
      <w:r>
        <w:rPr>
          <w:rFonts w:cs="Arial"/>
        </w:rPr>
        <w:t xml:space="preserve"> or </w:t>
      </w:r>
      <w:r w:rsidR="00C277EB">
        <w:rPr>
          <w:rFonts w:cs="Arial"/>
        </w:rPr>
        <w:t xml:space="preserve">adequately </w:t>
      </w:r>
      <w:r>
        <w:rPr>
          <w:rFonts w:cs="Arial"/>
        </w:rPr>
        <w:t xml:space="preserve">addresses any of the matters </w:t>
      </w:r>
      <w:r w:rsidR="00C277EB">
        <w:rPr>
          <w:rFonts w:cs="Arial"/>
        </w:rPr>
        <w:t xml:space="preserve">by Council </w:t>
      </w:r>
      <w:r>
        <w:rPr>
          <w:rFonts w:cs="Arial"/>
        </w:rPr>
        <w:t>noted above</w:t>
      </w:r>
      <w:r w:rsidRPr="007A4FC9">
        <w:rPr>
          <w:rFonts w:cs="Arial"/>
        </w:rPr>
        <w:t>.</w:t>
      </w:r>
      <w:bookmarkEnd w:id="3"/>
      <w:bookmarkEnd w:id="4"/>
    </w:p>
    <w:p w:rsidR="00E50415" w:rsidRDefault="00E50415" w:rsidP="00E50415">
      <w:pPr>
        <w:pStyle w:val="ListParagraph"/>
        <w:tabs>
          <w:tab w:val="left" w:pos="2520"/>
        </w:tabs>
        <w:spacing w:before="120" w:after="120"/>
        <w:ind w:left="780"/>
        <w:rPr>
          <w:rFonts w:cs="Arial"/>
        </w:rPr>
      </w:pP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t xml:space="preserve">PROPOSAL </w:t>
      </w:r>
    </w:p>
    <w:p w:rsidR="00BC4C86" w:rsidRPr="00B472EE" w:rsidRDefault="00BC4C86" w:rsidP="00BC4C86">
      <w:pPr>
        <w:tabs>
          <w:tab w:val="left" w:pos="2520"/>
        </w:tabs>
        <w:spacing w:before="120" w:after="120"/>
        <w:rPr>
          <w:rFonts w:cs="Arial"/>
          <w:b/>
          <w:szCs w:val="24"/>
        </w:rPr>
      </w:pPr>
      <w:r w:rsidRPr="00B472EE">
        <w:rPr>
          <w:rFonts w:cs="Arial"/>
          <w:b/>
          <w:szCs w:val="24"/>
        </w:rPr>
        <w:t>Objectives or intended outcomes</w:t>
      </w:r>
    </w:p>
    <w:p w:rsidR="00033969" w:rsidRPr="005A5BBD" w:rsidRDefault="00033969" w:rsidP="00BC4C86">
      <w:pPr>
        <w:tabs>
          <w:tab w:val="left" w:pos="2520"/>
        </w:tabs>
        <w:spacing w:before="120" w:after="120"/>
        <w:rPr>
          <w:rFonts w:cs="Arial"/>
          <w:szCs w:val="24"/>
        </w:rPr>
      </w:pPr>
      <w:r w:rsidRPr="005A5BBD">
        <w:rPr>
          <w:rFonts w:cs="Arial"/>
          <w:szCs w:val="24"/>
        </w:rPr>
        <w:t xml:space="preserve">The objective of the planning proposal is to remove the opportunity for a seniors housing development to be constructed on the subject land. </w:t>
      </w:r>
    </w:p>
    <w:p w:rsidR="00BC4C86" w:rsidRPr="005A5BBD" w:rsidRDefault="00BC4C86" w:rsidP="00BC4C86">
      <w:pPr>
        <w:tabs>
          <w:tab w:val="left" w:pos="2520"/>
        </w:tabs>
        <w:spacing w:before="120" w:after="120"/>
        <w:rPr>
          <w:rFonts w:cs="Arial"/>
          <w:b/>
          <w:szCs w:val="24"/>
        </w:rPr>
      </w:pPr>
      <w:r w:rsidRPr="005A5BBD">
        <w:rPr>
          <w:rFonts w:cs="Arial"/>
          <w:b/>
          <w:szCs w:val="24"/>
        </w:rPr>
        <w:t>Explanation of provisions</w:t>
      </w:r>
    </w:p>
    <w:p w:rsidR="00033969" w:rsidRPr="005A5BBD" w:rsidRDefault="00033969" w:rsidP="00BC4C86">
      <w:pPr>
        <w:tabs>
          <w:tab w:val="left" w:pos="2520"/>
        </w:tabs>
        <w:spacing w:before="120" w:after="120"/>
        <w:rPr>
          <w:rFonts w:cs="Arial"/>
          <w:szCs w:val="24"/>
        </w:rPr>
      </w:pPr>
      <w:r w:rsidRPr="005A5BBD">
        <w:rPr>
          <w:rFonts w:cs="Arial"/>
          <w:szCs w:val="24"/>
        </w:rPr>
        <w:t>The planning proposal is seeking approval to amend the WLEP 2010 by:</w:t>
      </w:r>
    </w:p>
    <w:p w:rsidR="00033969" w:rsidRPr="005A5BBD" w:rsidRDefault="00033969" w:rsidP="00033969">
      <w:pPr>
        <w:pStyle w:val="ListParagraph"/>
        <w:numPr>
          <w:ilvl w:val="0"/>
          <w:numId w:val="5"/>
        </w:numPr>
        <w:tabs>
          <w:tab w:val="left" w:pos="2520"/>
        </w:tabs>
        <w:spacing w:before="120" w:after="120"/>
        <w:rPr>
          <w:rFonts w:cs="Arial"/>
          <w:szCs w:val="24"/>
        </w:rPr>
      </w:pPr>
      <w:r w:rsidRPr="005A5BBD">
        <w:rPr>
          <w:rFonts w:cs="Arial"/>
          <w:szCs w:val="24"/>
        </w:rPr>
        <w:t>Amend Schedule 1 to remove Item 4;</w:t>
      </w:r>
    </w:p>
    <w:p w:rsidR="00033969" w:rsidRPr="005A5BBD" w:rsidRDefault="00033969" w:rsidP="00033969">
      <w:pPr>
        <w:pStyle w:val="ListParagraph"/>
        <w:numPr>
          <w:ilvl w:val="0"/>
          <w:numId w:val="5"/>
        </w:numPr>
        <w:tabs>
          <w:tab w:val="left" w:pos="2520"/>
        </w:tabs>
        <w:spacing w:before="120" w:after="120"/>
        <w:rPr>
          <w:rFonts w:cs="Arial"/>
          <w:szCs w:val="24"/>
        </w:rPr>
      </w:pPr>
      <w:r w:rsidRPr="005A5BBD">
        <w:rPr>
          <w:rFonts w:cs="Arial"/>
          <w:szCs w:val="24"/>
        </w:rPr>
        <w:t>Remove the subject land (Item 4) from the Local Clauses- Schedule 1 Map;</w:t>
      </w:r>
    </w:p>
    <w:p w:rsidR="00033969" w:rsidRPr="005A5BBD" w:rsidRDefault="00033969" w:rsidP="00033969">
      <w:pPr>
        <w:pStyle w:val="ListParagraph"/>
        <w:numPr>
          <w:ilvl w:val="0"/>
          <w:numId w:val="5"/>
        </w:numPr>
        <w:tabs>
          <w:tab w:val="left" w:pos="2520"/>
        </w:tabs>
        <w:spacing w:before="120" w:after="120"/>
        <w:rPr>
          <w:rFonts w:cs="Arial"/>
          <w:szCs w:val="24"/>
        </w:rPr>
      </w:pPr>
      <w:r w:rsidRPr="005A5BBD">
        <w:rPr>
          <w:rFonts w:cs="Arial"/>
          <w:szCs w:val="24"/>
        </w:rPr>
        <w:lastRenderedPageBreak/>
        <w:t xml:space="preserve">Remove that portion of the subject site shown on the Land Reservation Acquisitions Map. </w:t>
      </w:r>
    </w:p>
    <w:p w:rsidR="007A268C" w:rsidRDefault="007A268C" w:rsidP="00BC4C86">
      <w:pPr>
        <w:tabs>
          <w:tab w:val="left" w:pos="2520"/>
        </w:tabs>
        <w:spacing w:before="120" w:after="120"/>
        <w:rPr>
          <w:rFonts w:cs="Arial"/>
          <w:b/>
          <w:szCs w:val="24"/>
        </w:rPr>
      </w:pPr>
    </w:p>
    <w:p w:rsidR="00BC4C86" w:rsidRPr="00B472EE" w:rsidRDefault="00BC4C86" w:rsidP="00BC4C86">
      <w:pPr>
        <w:tabs>
          <w:tab w:val="left" w:pos="2520"/>
        </w:tabs>
        <w:spacing w:before="120" w:after="120"/>
        <w:rPr>
          <w:rFonts w:cs="Arial"/>
          <w:b/>
          <w:szCs w:val="24"/>
        </w:rPr>
      </w:pPr>
      <w:r w:rsidRPr="00B472EE">
        <w:rPr>
          <w:rFonts w:cs="Arial"/>
          <w:b/>
          <w:szCs w:val="24"/>
        </w:rPr>
        <w:t xml:space="preserve">Mapping </w:t>
      </w:r>
    </w:p>
    <w:p w:rsidR="00396B3E" w:rsidRPr="00556FC1" w:rsidRDefault="005A5BBD" w:rsidP="00BC4C86">
      <w:pPr>
        <w:tabs>
          <w:tab w:val="left" w:pos="2520"/>
        </w:tabs>
        <w:spacing w:before="120" w:after="120"/>
        <w:rPr>
          <w:rFonts w:cs="Arial"/>
          <w:szCs w:val="24"/>
        </w:rPr>
      </w:pPr>
      <w:r w:rsidRPr="00556FC1">
        <w:rPr>
          <w:rFonts w:cs="Arial"/>
          <w:szCs w:val="24"/>
        </w:rPr>
        <w:t xml:space="preserve">The planning proposal requires amendments </w:t>
      </w:r>
      <w:r w:rsidR="00396B3E" w:rsidRPr="00556FC1">
        <w:rPr>
          <w:rFonts w:cs="Arial"/>
          <w:szCs w:val="24"/>
        </w:rPr>
        <w:t xml:space="preserve">to the Local Clauses Map and the Land Reservation Acquisition map. </w:t>
      </w:r>
    </w:p>
    <w:p w:rsidR="00D371EA" w:rsidRDefault="00396B3E" w:rsidP="002F3937">
      <w:pPr>
        <w:tabs>
          <w:tab w:val="left" w:pos="2520"/>
        </w:tabs>
        <w:spacing w:before="120" w:after="120"/>
        <w:rPr>
          <w:rFonts w:cs="Arial"/>
          <w:b/>
        </w:rPr>
      </w:pPr>
      <w:r w:rsidRPr="00556FC1">
        <w:rPr>
          <w:rFonts w:cs="Arial"/>
          <w:szCs w:val="24"/>
        </w:rPr>
        <w:t xml:space="preserve">The maps provided with the planning proposal are suitable for the purposes of public consultation should the planning proposal proceed to a Gateway determination. </w:t>
      </w: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t xml:space="preserve">NEED FOR THE PLANNING PROPOSAL  </w:t>
      </w:r>
    </w:p>
    <w:p w:rsidR="00BC4C86" w:rsidRPr="00B472EE" w:rsidRDefault="00BC4C86" w:rsidP="00BC4C86">
      <w:pPr>
        <w:tabs>
          <w:tab w:val="left" w:pos="2520"/>
        </w:tabs>
        <w:rPr>
          <w:rFonts w:cs="Arial"/>
          <w:sz w:val="2"/>
          <w:szCs w:val="2"/>
          <w:highlight w:val="yellow"/>
        </w:rPr>
      </w:pPr>
    </w:p>
    <w:p w:rsidR="00556FC1" w:rsidRDefault="00C277EB" w:rsidP="00BC4C86">
      <w:pPr>
        <w:pBdr>
          <w:bottom w:val="single" w:sz="4" w:space="1" w:color="auto"/>
        </w:pBdr>
        <w:tabs>
          <w:tab w:val="left" w:pos="2520"/>
        </w:tabs>
        <w:spacing w:after="120"/>
        <w:rPr>
          <w:rFonts w:cs="Arial"/>
        </w:rPr>
      </w:pPr>
      <w:r>
        <w:rPr>
          <w:rFonts w:cs="Arial"/>
        </w:rPr>
        <w:t>T</w:t>
      </w:r>
      <w:r w:rsidR="00556FC1" w:rsidRPr="006A2CC2">
        <w:rPr>
          <w:rFonts w:cs="Arial"/>
        </w:rPr>
        <w:t xml:space="preserve">he planning proposal achieves the intent of the Council resolution to remove the </w:t>
      </w:r>
      <w:r w:rsidR="00B23D8B" w:rsidRPr="006A2CC2">
        <w:rPr>
          <w:rFonts w:cs="Arial"/>
        </w:rPr>
        <w:t>permissibility of</w:t>
      </w:r>
      <w:r w:rsidR="00556FC1" w:rsidRPr="006A2CC2">
        <w:rPr>
          <w:rFonts w:cs="Arial"/>
        </w:rPr>
        <w:t xml:space="preserve"> seniors housing on the OLSH site.</w:t>
      </w:r>
      <w:r w:rsidR="00BE364F">
        <w:rPr>
          <w:rFonts w:cs="Arial"/>
        </w:rPr>
        <w:t xml:space="preserve"> Council proposes this as it considers that the site is not suitable for the use for the following reasons:</w:t>
      </w:r>
    </w:p>
    <w:p w:rsidR="001C4FDB" w:rsidRDefault="00931D5A" w:rsidP="009D7431">
      <w:pPr>
        <w:pStyle w:val="ListParagraph"/>
        <w:numPr>
          <w:ilvl w:val="0"/>
          <w:numId w:val="8"/>
        </w:numPr>
        <w:pBdr>
          <w:bottom w:val="single" w:sz="4" w:space="1" w:color="auto"/>
        </w:pBdr>
        <w:tabs>
          <w:tab w:val="left" w:pos="2520"/>
        </w:tabs>
        <w:spacing w:after="120"/>
        <w:rPr>
          <w:rFonts w:cs="Arial"/>
        </w:rPr>
      </w:pPr>
      <w:r>
        <w:rPr>
          <w:rFonts w:cs="Arial"/>
        </w:rPr>
        <w:t xml:space="preserve">The land is not zoned for seniors housing. </w:t>
      </w:r>
    </w:p>
    <w:p w:rsidR="00EC4BD0" w:rsidRDefault="00C277EB" w:rsidP="00972E3E">
      <w:pPr>
        <w:pBdr>
          <w:bottom w:val="single" w:sz="4" w:space="1" w:color="auto"/>
        </w:pBdr>
        <w:tabs>
          <w:tab w:val="left" w:pos="2520"/>
        </w:tabs>
        <w:spacing w:after="120"/>
        <w:rPr>
          <w:rFonts w:cs="Arial"/>
        </w:rPr>
      </w:pPr>
      <w:r>
        <w:rPr>
          <w:rFonts w:cs="Arial"/>
        </w:rPr>
        <w:t xml:space="preserve">Council has identified that </w:t>
      </w:r>
      <w:r w:rsidR="00281E97">
        <w:rPr>
          <w:rFonts w:cs="Arial"/>
        </w:rPr>
        <w:t>t</w:t>
      </w:r>
      <w:r w:rsidR="00972E3E">
        <w:rPr>
          <w:rFonts w:cs="Arial"/>
        </w:rPr>
        <w:t xml:space="preserve">he OLSH site is zoned R5 Large Lot Residential under WLEP 2010, </w:t>
      </w:r>
      <w:r>
        <w:rPr>
          <w:rFonts w:cs="Arial"/>
        </w:rPr>
        <w:t>which does not permit Seniors housing. The Seniors SEPP does not apply as the site is within a drinking water catchment.</w:t>
      </w:r>
      <w:r w:rsidR="00972E3E">
        <w:rPr>
          <w:rFonts w:cs="Arial"/>
        </w:rPr>
        <w:t xml:space="preserve"> Seniors housing</w:t>
      </w:r>
      <w:r w:rsidR="00972E3E" w:rsidRPr="006A2CC2">
        <w:rPr>
          <w:rFonts w:cs="Arial"/>
        </w:rPr>
        <w:t xml:space="preserve"> was permitted under the former 2(a1) Residential Zone under the Wingecarribee LEP 1989. A Site Compatibility Certificate was granted </w:t>
      </w:r>
      <w:r>
        <w:rPr>
          <w:rFonts w:cs="Arial"/>
        </w:rPr>
        <w:t xml:space="preserve">in 2007 </w:t>
      </w:r>
      <w:r w:rsidR="00972E3E" w:rsidRPr="006A2CC2">
        <w:rPr>
          <w:rFonts w:cs="Arial"/>
        </w:rPr>
        <w:t xml:space="preserve">under the SEPP of the time. The Department ensured that Seniors Housing was permitted on the OLSH site </w:t>
      </w:r>
      <w:r w:rsidR="00972E3E">
        <w:rPr>
          <w:rFonts w:cs="Arial"/>
        </w:rPr>
        <w:t xml:space="preserve">by directing Council to include the use on the site in Schedule 1 </w:t>
      </w:r>
      <w:r w:rsidR="00972E3E" w:rsidRPr="006A2CC2">
        <w:rPr>
          <w:rFonts w:cs="Arial"/>
        </w:rPr>
        <w:t>with the making of the WLEP 2010</w:t>
      </w:r>
      <w:r w:rsidR="00EC4BD0">
        <w:rPr>
          <w:rFonts w:cs="Arial"/>
        </w:rPr>
        <w:t xml:space="preserve">. </w:t>
      </w:r>
    </w:p>
    <w:p w:rsidR="00931D5A" w:rsidRPr="00FB11B1" w:rsidRDefault="00931D5A" w:rsidP="00FB11B1">
      <w:pPr>
        <w:pStyle w:val="ListParagraph"/>
        <w:numPr>
          <w:ilvl w:val="0"/>
          <w:numId w:val="8"/>
        </w:numPr>
        <w:pBdr>
          <w:bottom w:val="single" w:sz="4" w:space="1" w:color="auto"/>
        </w:pBdr>
        <w:tabs>
          <w:tab w:val="left" w:pos="2520"/>
        </w:tabs>
        <w:spacing w:after="120"/>
        <w:rPr>
          <w:rFonts w:cs="Arial"/>
        </w:rPr>
      </w:pPr>
      <w:r w:rsidRPr="00FB11B1">
        <w:rPr>
          <w:rFonts w:cs="Arial"/>
        </w:rPr>
        <w:t>Access to the site is limited and constrained</w:t>
      </w:r>
    </w:p>
    <w:p w:rsidR="007A268C" w:rsidRDefault="00C277EB" w:rsidP="00980EE3">
      <w:pPr>
        <w:pStyle w:val="ListParagraph"/>
        <w:pBdr>
          <w:bottom w:val="single" w:sz="4" w:space="1" w:color="auto"/>
        </w:pBdr>
        <w:tabs>
          <w:tab w:val="left" w:pos="2520"/>
        </w:tabs>
        <w:spacing w:after="120"/>
        <w:ind w:left="0"/>
        <w:rPr>
          <w:rFonts w:cs="Arial"/>
        </w:rPr>
      </w:pPr>
      <w:r>
        <w:rPr>
          <w:rFonts w:cs="Arial"/>
        </w:rPr>
        <w:t xml:space="preserve">Council identified that the access to the site is limited. </w:t>
      </w:r>
      <w:r w:rsidR="00EC4BD0">
        <w:rPr>
          <w:rFonts w:cs="Arial"/>
        </w:rPr>
        <w:t xml:space="preserve">Whilst the site is separated from Bowral by the Main Southern Railway line, </w:t>
      </w:r>
      <w:r w:rsidR="002D4030">
        <w:rPr>
          <w:rFonts w:cs="Arial"/>
        </w:rPr>
        <w:t xml:space="preserve">safe </w:t>
      </w:r>
      <w:r w:rsidR="00FB11B1">
        <w:rPr>
          <w:rFonts w:cs="Arial"/>
        </w:rPr>
        <w:t xml:space="preserve">pedestrian access is provided across the rail line, and this links in with the recreational area which will form part of upgraded bike and pedestrian access linking west Bowral to east Bowral. There are two vehicular access points that link the site to the Bowral shopping centre, and the site is walking distance of the Bowral railway station. </w:t>
      </w:r>
      <w:r w:rsidR="00980EE3">
        <w:rPr>
          <w:rFonts w:cs="Arial"/>
        </w:rPr>
        <w:t>Council has also raised the concern that the main road access, Kirkham Road, is flood affected by its location along Mittagong Creek.  Much of the area to the west of Kirkham Road is also affected by the Kirkham Road flood area and vehicular access is available through other road access points during flooding</w:t>
      </w:r>
      <w:r w:rsidR="007A268C">
        <w:rPr>
          <w:rFonts w:cs="Arial"/>
        </w:rPr>
        <w:t xml:space="preserve"> to the north of the site. </w:t>
      </w:r>
    </w:p>
    <w:p w:rsidR="00931D5A" w:rsidRPr="002D4030" w:rsidRDefault="00931D5A" w:rsidP="007A268C">
      <w:pPr>
        <w:pStyle w:val="ListParagraph"/>
        <w:numPr>
          <w:ilvl w:val="0"/>
          <w:numId w:val="8"/>
        </w:numPr>
        <w:pBdr>
          <w:bottom w:val="single" w:sz="4" w:space="1" w:color="auto"/>
        </w:pBdr>
        <w:tabs>
          <w:tab w:val="left" w:pos="2520"/>
        </w:tabs>
        <w:spacing w:after="120"/>
        <w:rPr>
          <w:rFonts w:cs="Arial"/>
        </w:rPr>
      </w:pPr>
      <w:r w:rsidRPr="002D4030">
        <w:rPr>
          <w:rFonts w:cs="Arial"/>
        </w:rPr>
        <w:t>Heritage significance of the site.</w:t>
      </w:r>
    </w:p>
    <w:p w:rsidR="00A80EC4" w:rsidRDefault="00FB11B1" w:rsidP="00A80EC4">
      <w:pPr>
        <w:pBdr>
          <w:bottom w:val="single" w:sz="4" w:space="1" w:color="auto"/>
        </w:pBdr>
        <w:tabs>
          <w:tab w:val="left" w:pos="2520"/>
        </w:tabs>
        <w:spacing w:after="120"/>
        <w:rPr>
          <w:rFonts w:cs="Arial"/>
        </w:rPr>
      </w:pPr>
      <w:r>
        <w:rPr>
          <w:rFonts w:cs="Arial"/>
        </w:rPr>
        <w:t xml:space="preserve">Council amended the </w:t>
      </w:r>
      <w:r w:rsidR="00A80EC4">
        <w:rPr>
          <w:rFonts w:cs="Arial"/>
        </w:rPr>
        <w:t>W</w:t>
      </w:r>
      <w:r>
        <w:rPr>
          <w:rFonts w:cs="Arial"/>
        </w:rPr>
        <w:t>LEP Heritage Schedule</w:t>
      </w:r>
      <w:r w:rsidR="007A268C">
        <w:rPr>
          <w:rFonts w:cs="Arial"/>
        </w:rPr>
        <w:t>-</w:t>
      </w:r>
      <w:r>
        <w:rPr>
          <w:rFonts w:cs="Arial"/>
        </w:rPr>
        <w:t xml:space="preserve"> </w:t>
      </w:r>
      <w:r w:rsidR="006B6942">
        <w:rPr>
          <w:rFonts w:cs="Arial"/>
        </w:rPr>
        <w:t xml:space="preserve">a process which </w:t>
      </w:r>
      <w:r>
        <w:rPr>
          <w:rFonts w:cs="Arial"/>
        </w:rPr>
        <w:t>commenced in 2009</w:t>
      </w:r>
      <w:r w:rsidR="00A80EC4">
        <w:rPr>
          <w:rFonts w:cs="Arial"/>
        </w:rPr>
        <w:t>,</w:t>
      </w:r>
      <w:r>
        <w:rPr>
          <w:rFonts w:cs="Arial"/>
        </w:rPr>
        <w:t xml:space="preserve"> </w:t>
      </w:r>
      <w:r w:rsidR="00A80EC4">
        <w:rPr>
          <w:rFonts w:cs="Arial"/>
        </w:rPr>
        <w:t xml:space="preserve">in response to </w:t>
      </w:r>
      <w:r>
        <w:rPr>
          <w:rFonts w:cs="Arial"/>
        </w:rPr>
        <w:t>submissions from Council and the community</w:t>
      </w:r>
      <w:r w:rsidR="00A80EC4">
        <w:rPr>
          <w:rFonts w:cs="Arial"/>
        </w:rPr>
        <w:t xml:space="preserve"> </w:t>
      </w:r>
      <w:r w:rsidR="00972E3E">
        <w:rPr>
          <w:rFonts w:cs="Arial"/>
        </w:rPr>
        <w:t xml:space="preserve">during a </w:t>
      </w:r>
      <w:r w:rsidR="002D4030">
        <w:rPr>
          <w:rFonts w:cs="Arial"/>
        </w:rPr>
        <w:t>review of heritage items</w:t>
      </w:r>
      <w:r w:rsidR="00A80EC4">
        <w:rPr>
          <w:rFonts w:cs="Arial"/>
        </w:rPr>
        <w:t xml:space="preserve"> </w:t>
      </w:r>
      <w:r w:rsidR="002D4030">
        <w:rPr>
          <w:rFonts w:cs="Arial"/>
        </w:rPr>
        <w:t>in W</w:t>
      </w:r>
      <w:r w:rsidR="00A80EC4">
        <w:rPr>
          <w:rFonts w:cs="Arial"/>
        </w:rPr>
        <w:t xml:space="preserve">LEP 1989. At the time 40 properties were included in the LEP 1989 review </w:t>
      </w:r>
      <w:r w:rsidR="00972E3E">
        <w:rPr>
          <w:rFonts w:cs="Arial"/>
        </w:rPr>
        <w:t xml:space="preserve">and these were adopted </w:t>
      </w:r>
      <w:r w:rsidR="00A80EC4">
        <w:rPr>
          <w:rFonts w:cs="Arial"/>
        </w:rPr>
        <w:t xml:space="preserve">in LEP 2010. Amendment no 40 </w:t>
      </w:r>
      <w:r>
        <w:rPr>
          <w:rFonts w:cs="Arial"/>
        </w:rPr>
        <w:t>review</w:t>
      </w:r>
      <w:r w:rsidR="00A80EC4">
        <w:rPr>
          <w:rFonts w:cs="Arial"/>
        </w:rPr>
        <w:t>ed</w:t>
      </w:r>
      <w:r>
        <w:rPr>
          <w:rFonts w:cs="Arial"/>
        </w:rPr>
        <w:t xml:space="preserve"> over 700 properties</w:t>
      </w:r>
      <w:r w:rsidR="00A80EC4">
        <w:rPr>
          <w:rFonts w:cs="Arial"/>
        </w:rPr>
        <w:t xml:space="preserve"> which required additional investigation after the LEP 2010 consultation process,</w:t>
      </w:r>
      <w:r w:rsidR="002D4030">
        <w:rPr>
          <w:rFonts w:cs="Arial"/>
        </w:rPr>
        <w:t xml:space="preserve"> </w:t>
      </w:r>
      <w:r>
        <w:rPr>
          <w:rFonts w:cs="Arial"/>
        </w:rPr>
        <w:t xml:space="preserve">and consultants prepared a detailed report on the properties that were identified as having unique heritage significance.  </w:t>
      </w:r>
      <w:r w:rsidR="002D4030">
        <w:rPr>
          <w:rFonts w:cs="Arial"/>
        </w:rPr>
        <w:t xml:space="preserve">Amendment no 40 </w:t>
      </w:r>
      <w:r w:rsidR="00A80EC4">
        <w:rPr>
          <w:rFonts w:cs="Arial"/>
        </w:rPr>
        <w:t xml:space="preserve">was notified on March </w:t>
      </w:r>
      <w:r w:rsidR="007C449C">
        <w:rPr>
          <w:rFonts w:cs="Arial"/>
        </w:rPr>
        <w:t xml:space="preserve">3 </w:t>
      </w:r>
      <w:r w:rsidR="00A80EC4">
        <w:rPr>
          <w:rFonts w:cs="Arial"/>
        </w:rPr>
        <w:t xml:space="preserve">2017. The OLSH site was not included in the Amendment no 40 </w:t>
      </w:r>
      <w:r w:rsidR="00972E3E">
        <w:rPr>
          <w:rFonts w:cs="Arial"/>
        </w:rPr>
        <w:t xml:space="preserve">heritage </w:t>
      </w:r>
      <w:r w:rsidR="00A80EC4">
        <w:rPr>
          <w:rFonts w:cs="Arial"/>
        </w:rPr>
        <w:t xml:space="preserve">schedule changes. The Interim Heritage Order was </w:t>
      </w:r>
      <w:r w:rsidR="002D4030">
        <w:rPr>
          <w:rFonts w:cs="Arial"/>
        </w:rPr>
        <w:t>initiated as a result of the notice of motion</w:t>
      </w:r>
      <w:r w:rsidR="0093003F">
        <w:rPr>
          <w:rFonts w:cs="Arial"/>
        </w:rPr>
        <w:t xml:space="preserve"> and covers the entire site</w:t>
      </w:r>
      <w:r w:rsidR="002D4030">
        <w:rPr>
          <w:rFonts w:cs="Arial"/>
        </w:rPr>
        <w:t xml:space="preserve">. </w:t>
      </w:r>
    </w:p>
    <w:p w:rsidR="00E50415" w:rsidRDefault="00E50415" w:rsidP="00E50415">
      <w:pPr>
        <w:pStyle w:val="ListParagraph"/>
        <w:pBdr>
          <w:bottom w:val="single" w:sz="4" w:space="1" w:color="auto"/>
        </w:pBdr>
        <w:tabs>
          <w:tab w:val="left" w:pos="2520"/>
        </w:tabs>
        <w:spacing w:after="120"/>
        <w:rPr>
          <w:rFonts w:cs="Arial"/>
        </w:rPr>
      </w:pPr>
    </w:p>
    <w:p w:rsidR="00E50415" w:rsidRDefault="00E50415" w:rsidP="00E50415">
      <w:pPr>
        <w:pStyle w:val="ListParagraph"/>
        <w:pBdr>
          <w:bottom w:val="single" w:sz="4" w:space="1" w:color="auto"/>
        </w:pBdr>
        <w:tabs>
          <w:tab w:val="left" w:pos="2520"/>
        </w:tabs>
        <w:spacing w:after="120"/>
        <w:rPr>
          <w:rFonts w:cs="Arial"/>
        </w:rPr>
      </w:pPr>
    </w:p>
    <w:p w:rsidR="00931D5A" w:rsidRPr="00A80EC4" w:rsidRDefault="00931D5A" w:rsidP="00A80EC4">
      <w:pPr>
        <w:pStyle w:val="ListParagraph"/>
        <w:numPr>
          <w:ilvl w:val="0"/>
          <w:numId w:val="8"/>
        </w:numPr>
        <w:pBdr>
          <w:bottom w:val="single" w:sz="4" w:space="1" w:color="auto"/>
        </w:pBdr>
        <w:tabs>
          <w:tab w:val="left" w:pos="2520"/>
        </w:tabs>
        <w:spacing w:after="120"/>
        <w:rPr>
          <w:rFonts w:cs="Arial"/>
        </w:rPr>
      </w:pPr>
      <w:r w:rsidRPr="00A80EC4">
        <w:rPr>
          <w:rFonts w:cs="Arial"/>
        </w:rPr>
        <w:t>Environmental constraints</w:t>
      </w:r>
    </w:p>
    <w:p w:rsidR="007A268C" w:rsidRDefault="006B6942" w:rsidP="00BC4C86">
      <w:pPr>
        <w:pBdr>
          <w:bottom w:val="single" w:sz="4" w:space="1" w:color="auto"/>
        </w:pBdr>
        <w:tabs>
          <w:tab w:val="left" w:pos="2520"/>
        </w:tabs>
        <w:spacing w:after="120"/>
        <w:rPr>
          <w:rFonts w:cs="Arial"/>
        </w:rPr>
      </w:pPr>
      <w:r w:rsidRPr="002D4030">
        <w:rPr>
          <w:rFonts w:cs="Arial"/>
        </w:rPr>
        <w:t xml:space="preserve">Council has indicated that the site has flood constraints that could reduce access during flooding.  </w:t>
      </w:r>
      <w:r>
        <w:rPr>
          <w:rFonts w:cs="Arial"/>
        </w:rPr>
        <w:t>The portion of the site that is flood af</w:t>
      </w:r>
      <w:r w:rsidR="0093003F">
        <w:rPr>
          <w:rFonts w:cs="Arial"/>
        </w:rPr>
        <w:t>fected is zoned RE1 Recreation and would not be developed</w:t>
      </w:r>
      <w:r>
        <w:rPr>
          <w:rFonts w:cs="Arial"/>
        </w:rPr>
        <w:t xml:space="preserve">. </w:t>
      </w:r>
      <w:r w:rsidRPr="002D4030">
        <w:rPr>
          <w:rFonts w:cs="Arial"/>
        </w:rPr>
        <w:t xml:space="preserve">This flood affectation is not unique to the OLSH site, and in fact affects areas of greater residential density to the west and east of the site. </w:t>
      </w: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t>STRATEGIC ASSESSMENT</w:t>
      </w:r>
    </w:p>
    <w:p w:rsidR="00BC4C86" w:rsidRPr="00B472EE" w:rsidRDefault="00BC4C86" w:rsidP="00BC4C86">
      <w:pPr>
        <w:tabs>
          <w:tab w:val="left" w:pos="2520"/>
        </w:tabs>
        <w:spacing w:before="120" w:after="120"/>
        <w:rPr>
          <w:rFonts w:cs="Arial"/>
          <w:b/>
          <w:szCs w:val="24"/>
        </w:rPr>
      </w:pPr>
      <w:r w:rsidRPr="00B472EE">
        <w:rPr>
          <w:rFonts w:cs="Arial"/>
          <w:b/>
          <w:szCs w:val="24"/>
        </w:rPr>
        <w:t xml:space="preserve">Regional / District </w:t>
      </w:r>
    </w:p>
    <w:p w:rsidR="00B95E10" w:rsidRPr="00F2284E" w:rsidRDefault="00D371EA" w:rsidP="00BC4C86">
      <w:pPr>
        <w:tabs>
          <w:tab w:val="left" w:pos="2520"/>
        </w:tabs>
        <w:spacing w:before="120" w:after="120"/>
        <w:rPr>
          <w:rFonts w:cs="Arial"/>
          <w:i/>
          <w:szCs w:val="24"/>
        </w:rPr>
      </w:pPr>
      <w:r w:rsidRPr="00F2284E">
        <w:rPr>
          <w:rFonts w:cs="Arial"/>
          <w:szCs w:val="24"/>
        </w:rPr>
        <w:t xml:space="preserve">Council </w:t>
      </w:r>
      <w:r w:rsidR="00BE364F">
        <w:rPr>
          <w:rFonts w:cs="Arial"/>
          <w:szCs w:val="24"/>
        </w:rPr>
        <w:t xml:space="preserve">argues </w:t>
      </w:r>
      <w:r w:rsidRPr="00F2284E">
        <w:rPr>
          <w:rFonts w:cs="Arial"/>
          <w:szCs w:val="24"/>
        </w:rPr>
        <w:t xml:space="preserve">that the planning proposal is consistent with the South East &amp; Tablelands Regional </w:t>
      </w:r>
      <w:r w:rsidRPr="00BE364F">
        <w:rPr>
          <w:rFonts w:cs="Arial"/>
          <w:szCs w:val="24"/>
        </w:rPr>
        <w:t xml:space="preserve">Plan </w:t>
      </w:r>
      <w:r w:rsidR="00C277EB">
        <w:rPr>
          <w:rFonts w:cs="Arial"/>
          <w:szCs w:val="24"/>
        </w:rPr>
        <w:t xml:space="preserve">Direction 23 </w:t>
      </w:r>
      <w:r w:rsidR="00C277EB" w:rsidRPr="00F2284E">
        <w:rPr>
          <w:rFonts w:cs="Arial"/>
          <w:i/>
          <w:szCs w:val="24"/>
        </w:rPr>
        <w:t>Undertake and implement heritage studies</w:t>
      </w:r>
      <w:r w:rsidR="00C277EB">
        <w:rPr>
          <w:rFonts w:cs="Arial"/>
          <w:szCs w:val="24"/>
        </w:rPr>
        <w:t xml:space="preserve"> and </w:t>
      </w:r>
      <w:r w:rsidRPr="00BE364F">
        <w:rPr>
          <w:rFonts w:cs="Arial"/>
          <w:szCs w:val="24"/>
        </w:rPr>
        <w:t>Direction 24</w:t>
      </w:r>
      <w:r w:rsidRPr="00F2284E">
        <w:rPr>
          <w:rFonts w:cs="Arial"/>
          <w:i/>
          <w:szCs w:val="24"/>
        </w:rPr>
        <w:t xml:space="preserve">: Deliver greater housing </w:t>
      </w:r>
      <w:r w:rsidR="00B95E10" w:rsidRPr="00F2284E">
        <w:rPr>
          <w:rFonts w:cs="Arial"/>
          <w:i/>
          <w:szCs w:val="24"/>
        </w:rPr>
        <w:t xml:space="preserve">supply and </w:t>
      </w:r>
      <w:r w:rsidRPr="00F2284E">
        <w:rPr>
          <w:rFonts w:cs="Arial"/>
          <w:i/>
          <w:szCs w:val="24"/>
        </w:rPr>
        <w:t>choice</w:t>
      </w:r>
      <w:r w:rsidR="00B95E10" w:rsidRPr="00F2284E">
        <w:rPr>
          <w:rFonts w:cs="Arial"/>
          <w:i/>
          <w:szCs w:val="24"/>
        </w:rPr>
        <w:t xml:space="preserve">. </w:t>
      </w:r>
    </w:p>
    <w:p w:rsidR="009E1637" w:rsidRDefault="007438A7" w:rsidP="009E1637">
      <w:pPr>
        <w:tabs>
          <w:tab w:val="left" w:pos="2520"/>
        </w:tabs>
        <w:spacing w:before="120" w:after="120"/>
        <w:rPr>
          <w:rFonts w:cs="Arial"/>
          <w:szCs w:val="24"/>
        </w:rPr>
      </w:pPr>
      <w:r w:rsidRPr="00F2284E">
        <w:rPr>
          <w:rFonts w:cs="Arial"/>
          <w:szCs w:val="24"/>
        </w:rPr>
        <w:t>The planning proposal is not cons</w:t>
      </w:r>
      <w:r>
        <w:rPr>
          <w:rFonts w:cs="Arial"/>
          <w:szCs w:val="24"/>
        </w:rPr>
        <w:t>istent with the South East and R</w:t>
      </w:r>
      <w:r w:rsidRPr="00F2284E">
        <w:rPr>
          <w:rFonts w:cs="Arial"/>
          <w:szCs w:val="24"/>
        </w:rPr>
        <w:t xml:space="preserve">egional Plan. </w:t>
      </w:r>
      <w:r w:rsidR="009E1637" w:rsidRPr="00F2284E">
        <w:rPr>
          <w:rFonts w:cs="Arial"/>
          <w:szCs w:val="24"/>
        </w:rPr>
        <w:t xml:space="preserve">In respect to </w:t>
      </w:r>
      <w:r w:rsidR="009E1637" w:rsidRPr="00C277EB">
        <w:rPr>
          <w:rFonts w:cs="Arial"/>
          <w:szCs w:val="24"/>
        </w:rPr>
        <w:t>Direction 23</w:t>
      </w:r>
      <w:r w:rsidR="009E1637" w:rsidRPr="00F2284E">
        <w:rPr>
          <w:rFonts w:cs="Arial"/>
          <w:i/>
          <w:szCs w:val="24"/>
        </w:rPr>
        <w:t>: undertake and implement heritage studies</w:t>
      </w:r>
      <w:r w:rsidR="009E1637" w:rsidRPr="00F2284E">
        <w:rPr>
          <w:rFonts w:cs="Arial"/>
          <w:szCs w:val="24"/>
        </w:rPr>
        <w:t xml:space="preserve"> </w:t>
      </w:r>
      <w:r w:rsidR="00281E97">
        <w:rPr>
          <w:rFonts w:cs="Arial"/>
          <w:szCs w:val="24"/>
        </w:rPr>
        <w:t xml:space="preserve">it </w:t>
      </w:r>
      <w:r w:rsidR="009E1637" w:rsidRPr="00F2284E">
        <w:rPr>
          <w:rFonts w:cs="Arial"/>
          <w:szCs w:val="24"/>
        </w:rPr>
        <w:t xml:space="preserve">is considered </w:t>
      </w:r>
      <w:r w:rsidR="009E1637">
        <w:rPr>
          <w:rFonts w:cs="Arial"/>
          <w:szCs w:val="24"/>
        </w:rPr>
        <w:t xml:space="preserve">by Council </w:t>
      </w:r>
      <w:r w:rsidR="009E1637" w:rsidRPr="00F2284E">
        <w:rPr>
          <w:rFonts w:cs="Arial"/>
          <w:szCs w:val="24"/>
        </w:rPr>
        <w:t xml:space="preserve">to be consistent because they have placed an Interim Heritage Order on the </w:t>
      </w:r>
      <w:r w:rsidR="009E1637">
        <w:rPr>
          <w:rFonts w:cs="Arial"/>
          <w:szCs w:val="24"/>
        </w:rPr>
        <w:t xml:space="preserve">entire </w:t>
      </w:r>
      <w:r w:rsidR="009E1637" w:rsidRPr="00F2284E">
        <w:rPr>
          <w:rFonts w:cs="Arial"/>
          <w:szCs w:val="24"/>
        </w:rPr>
        <w:t>site.</w:t>
      </w:r>
      <w:r w:rsidR="009E1637">
        <w:rPr>
          <w:rFonts w:cs="Arial"/>
          <w:szCs w:val="24"/>
        </w:rPr>
        <w:t xml:space="preserve"> </w:t>
      </w:r>
    </w:p>
    <w:p w:rsidR="00943CFF" w:rsidRDefault="00C277EB" w:rsidP="008C40B7">
      <w:r>
        <w:rPr>
          <w:rFonts w:cs="Arial"/>
          <w:szCs w:val="24"/>
        </w:rPr>
        <w:t xml:space="preserve">In the case of </w:t>
      </w:r>
      <w:r w:rsidR="00943CFF" w:rsidRPr="00BE364F">
        <w:rPr>
          <w:rFonts w:cs="Arial"/>
          <w:szCs w:val="24"/>
        </w:rPr>
        <w:t>Direction 24</w:t>
      </w:r>
      <w:r w:rsidR="00943CFF" w:rsidRPr="00F2284E">
        <w:rPr>
          <w:rFonts w:cs="Arial"/>
          <w:szCs w:val="24"/>
        </w:rPr>
        <w:t>-</w:t>
      </w:r>
      <w:r w:rsidR="00281E97" w:rsidRPr="00281E97">
        <w:rPr>
          <w:rFonts w:cs="Arial"/>
          <w:i/>
          <w:szCs w:val="24"/>
        </w:rPr>
        <w:t xml:space="preserve"> </w:t>
      </w:r>
      <w:r w:rsidR="00281E97" w:rsidRPr="00F2284E">
        <w:rPr>
          <w:rFonts w:cs="Arial"/>
          <w:i/>
          <w:szCs w:val="24"/>
        </w:rPr>
        <w:t>Deliver greater housing supply and choice</w:t>
      </w:r>
      <w:r w:rsidR="00943CFF" w:rsidRPr="00F2284E">
        <w:rPr>
          <w:rFonts w:cs="Arial"/>
          <w:szCs w:val="24"/>
        </w:rPr>
        <w:t xml:space="preserve"> </w:t>
      </w:r>
      <w:r w:rsidR="00F2284E" w:rsidRPr="00F2284E">
        <w:rPr>
          <w:rFonts w:cs="Arial"/>
          <w:szCs w:val="24"/>
        </w:rPr>
        <w:t>Council</w:t>
      </w:r>
      <w:r w:rsidR="00943CFF" w:rsidRPr="00F2284E">
        <w:rPr>
          <w:rFonts w:cs="Arial"/>
          <w:szCs w:val="24"/>
        </w:rPr>
        <w:t xml:space="preserve"> believes that the planning proposal is consistent because it intends to prepare a housing strategy in 2018 consistent with the </w:t>
      </w:r>
      <w:r w:rsidR="00F2284E">
        <w:rPr>
          <w:rFonts w:cs="Arial"/>
          <w:szCs w:val="24"/>
        </w:rPr>
        <w:t xml:space="preserve">Regional </w:t>
      </w:r>
      <w:r w:rsidR="003C2D42">
        <w:rPr>
          <w:rFonts w:cs="Arial"/>
          <w:szCs w:val="24"/>
        </w:rPr>
        <w:t>S</w:t>
      </w:r>
      <w:r w:rsidR="00943CFF" w:rsidRPr="00F2284E">
        <w:rPr>
          <w:rFonts w:cs="Arial"/>
          <w:szCs w:val="24"/>
        </w:rPr>
        <w:t>trategy</w:t>
      </w:r>
      <w:r w:rsidR="00BE364F">
        <w:rPr>
          <w:rFonts w:cs="Arial"/>
          <w:szCs w:val="24"/>
        </w:rPr>
        <w:t xml:space="preserve">. However, the loss of potential seniors housing </w:t>
      </w:r>
      <w:r w:rsidR="00943CFF" w:rsidRPr="00F2284E">
        <w:rPr>
          <w:rFonts w:cs="Arial"/>
          <w:szCs w:val="24"/>
        </w:rPr>
        <w:t xml:space="preserve">on the site is inconsistent with the intent of </w:t>
      </w:r>
      <w:r w:rsidR="00F2284E">
        <w:rPr>
          <w:rFonts w:cs="Arial"/>
          <w:szCs w:val="24"/>
        </w:rPr>
        <w:t xml:space="preserve">the </w:t>
      </w:r>
      <w:r w:rsidR="00943CFF" w:rsidRPr="00F2284E">
        <w:rPr>
          <w:rFonts w:cs="Arial"/>
          <w:szCs w:val="24"/>
        </w:rPr>
        <w:t>strategy</w:t>
      </w:r>
      <w:r w:rsidR="00BE364F">
        <w:rPr>
          <w:rFonts w:cs="Arial"/>
          <w:szCs w:val="24"/>
        </w:rPr>
        <w:t xml:space="preserve"> as it reduces both housing supply and housing choice.</w:t>
      </w:r>
    </w:p>
    <w:p w:rsidR="00BC4C86" w:rsidRPr="00B472EE" w:rsidRDefault="00BC4C86" w:rsidP="00BC4C86">
      <w:pPr>
        <w:tabs>
          <w:tab w:val="left" w:pos="2520"/>
        </w:tabs>
        <w:spacing w:before="120" w:after="120"/>
        <w:rPr>
          <w:rFonts w:cs="Arial"/>
          <w:b/>
          <w:szCs w:val="24"/>
        </w:rPr>
      </w:pPr>
      <w:r w:rsidRPr="00B472EE">
        <w:rPr>
          <w:rFonts w:cs="Arial"/>
          <w:b/>
          <w:szCs w:val="24"/>
        </w:rPr>
        <w:t>Local</w:t>
      </w:r>
    </w:p>
    <w:p w:rsidR="00B2111F" w:rsidRDefault="007438A7" w:rsidP="00BC4C86">
      <w:pPr>
        <w:tabs>
          <w:tab w:val="left" w:pos="2520"/>
        </w:tabs>
        <w:spacing w:before="120" w:after="120"/>
        <w:rPr>
          <w:rFonts w:cs="Arial"/>
          <w:szCs w:val="24"/>
        </w:rPr>
      </w:pPr>
      <w:r w:rsidRPr="00F7525D">
        <w:rPr>
          <w:rFonts w:cs="Arial"/>
          <w:szCs w:val="24"/>
        </w:rPr>
        <w:t>The Wingeca</w:t>
      </w:r>
      <w:r w:rsidR="00BB3C5C" w:rsidRPr="00F7525D">
        <w:rPr>
          <w:rFonts w:cs="Arial"/>
          <w:szCs w:val="24"/>
        </w:rPr>
        <w:t>rribee Local Planning Strategy 2015-</w:t>
      </w:r>
      <w:r w:rsidRPr="00F7525D">
        <w:rPr>
          <w:rFonts w:cs="Arial"/>
          <w:szCs w:val="24"/>
        </w:rPr>
        <w:t xml:space="preserve">2031 was adopted by </w:t>
      </w:r>
      <w:r w:rsidR="00BB3C5C" w:rsidRPr="00F7525D">
        <w:rPr>
          <w:rFonts w:cs="Arial"/>
          <w:szCs w:val="24"/>
        </w:rPr>
        <w:t>Council</w:t>
      </w:r>
      <w:r w:rsidRPr="00F7525D">
        <w:rPr>
          <w:rFonts w:cs="Arial"/>
          <w:szCs w:val="24"/>
        </w:rPr>
        <w:t xml:space="preserve"> on the 23 </w:t>
      </w:r>
      <w:r w:rsidR="00BB3C5C" w:rsidRPr="00F7525D">
        <w:rPr>
          <w:rFonts w:cs="Arial"/>
          <w:szCs w:val="24"/>
        </w:rPr>
        <w:t>M</w:t>
      </w:r>
      <w:r w:rsidRPr="00F7525D">
        <w:rPr>
          <w:rFonts w:cs="Arial"/>
          <w:szCs w:val="24"/>
        </w:rPr>
        <w:t>arch 2016, and partly endorsed</w:t>
      </w:r>
      <w:r w:rsidR="00622BD9" w:rsidRPr="00F7525D">
        <w:rPr>
          <w:rFonts w:cs="Arial"/>
          <w:szCs w:val="24"/>
        </w:rPr>
        <w:t xml:space="preserve"> by the Department</w:t>
      </w:r>
      <w:r w:rsidR="00B2111F" w:rsidRPr="00B2111F">
        <w:rPr>
          <w:rFonts w:cs="Arial"/>
          <w:szCs w:val="24"/>
        </w:rPr>
        <w:t xml:space="preserve"> </w:t>
      </w:r>
      <w:r w:rsidR="00B2111F" w:rsidRPr="00F7525D">
        <w:rPr>
          <w:rFonts w:cs="Arial"/>
          <w:szCs w:val="24"/>
        </w:rPr>
        <w:t>on the 15 May 2017</w:t>
      </w:r>
      <w:r w:rsidRPr="00F7525D">
        <w:rPr>
          <w:rFonts w:cs="Arial"/>
          <w:szCs w:val="24"/>
        </w:rPr>
        <w:t xml:space="preserve">, except </w:t>
      </w:r>
      <w:r w:rsidR="00BB3C5C" w:rsidRPr="00F7525D">
        <w:rPr>
          <w:rFonts w:cs="Arial"/>
          <w:szCs w:val="24"/>
        </w:rPr>
        <w:t>for the section dealing with Co</w:t>
      </w:r>
      <w:r w:rsidRPr="00F7525D">
        <w:rPr>
          <w:rFonts w:cs="Arial"/>
          <w:szCs w:val="24"/>
        </w:rPr>
        <w:t>un</w:t>
      </w:r>
      <w:r w:rsidR="00BB3C5C" w:rsidRPr="00F7525D">
        <w:rPr>
          <w:rFonts w:cs="Arial"/>
          <w:szCs w:val="24"/>
        </w:rPr>
        <w:t>c</w:t>
      </w:r>
      <w:r w:rsidRPr="00F7525D">
        <w:rPr>
          <w:rFonts w:cs="Arial"/>
          <w:szCs w:val="24"/>
        </w:rPr>
        <w:t>il’</w:t>
      </w:r>
      <w:r w:rsidR="00F7525D">
        <w:rPr>
          <w:rFonts w:cs="Arial"/>
          <w:szCs w:val="24"/>
        </w:rPr>
        <w:t>s Housing S</w:t>
      </w:r>
      <w:r w:rsidR="00B2111F">
        <w:rPr>
          <w:rFonts w:cs="Arial"/>
          <w:szCs w:val="24"/>
        </w:rPr>
        <w:t xml:space="preserve">trategy. </w:t>
      </w:r>
      <w:r w:rsidR="00BB3C5C" w:rsidRPr="00F7525D">
        <w:rPr>
          <w:rFonts w:cs="Arial"/>
          <w:szCs w:val="24"/>
        </w:rPr>
        <w:t xml:space="preserve"> Council’s view is that the planning proposal is consistent w</w:t>
      </w:r>
      <w:r w:rsidR="00B2111F">
        <w:rPr>
          <w:rFonts w:cs="Arial"/>
          <w:szCs w:val="24"/>
        </w:rPr>
        <w:t>ith the local planning strategy as</w:t>
      </w:r>
      <w:r w:rsidR="00BB3C5C" w:rsidRPr="00F7525D">
        <w:rPr>
          <w:rFonts w:cs="Arial"/>
          <w:szCs w:val="24"/>
        </w:rPr>
        <w:t xml:space="preserve"> </w:t>
      </w:r>
      <w:r w:rsidR="00B2111F">
        <w:rPr>
          <w:rFonts w:cs="Arial"/>
          <w:szCs w:val="24"/>
        </w:rPr>
        <w:t>t</w:t>
      </w:r>
      <w:r w:rsidR="00BB3C5C" w:rsidRPr="00F7525D">
        <w:rPr>
          <w:rFonts w:cs="Arial"/>
          <w:szCs w:val="24"/>
        </w:rPr>
        <w:t>he Local Strategy addresses the growing population of seniors, and the suitability of Bowral as a location for infill housing, including housing for seniors.</w:t>
      </w:r>
      <w:r w:rsidR="00622BD9" w:rsidRPr="00F7525D">
        <w:rPr>
          <w:rFonts w:cs="Arial"/>
          <w:szCs w:val="24"/>
        </w:rPr>
        <w:t xml:space="preserve"> </w:t>
      </w:r>
    </w:p>
    <w:p w:rsidR="00F7525D" w:rsidRPr="00F7525D" w:rsidRDefault="00622BD9" w:rsidP="00BC4C86">
      <w:pPr>
        <w:tabs>
          <w:tab w:val="left" w:pos="2520"/>
        </w:tabs>
        <w:spacing w:before="120" w:after="120"/>
        <w:rPr>
          <w:rFonts w:cs="Arial"/>
          <w:szCs w:val="24"/>
        </w:rPr>
      </w:pPr>
      <w:r w:rsidRPr="00F7525D">
        <w:rPr>
          <w:rFonts w:cs="Arial"/>
          <w:szCs w:val="24"/>
        </w:rPr>
        <w:t xml:space="preserve">The local strategy seeks to address the supply of new housing through infill housing. </w:t>
      </w:r>
      <w:bookmarkStart w:id="5" w:name="_Hlk509921244"/>
      <w:r w:rsidR="0093003F">
        <w:rPr>
          <w:rFonts w:cs="Arial"/>
          <w:szCs w:val="24"/>
        </w:rPr>
        <w:t>T</w:t>
      </w:r>
      <w:r w:rsidRPr="00F7525D">
        <w:rPr>
          <w:rFonts w:cs="Arial"/>
          <w:szCs w:val="24"/>
        </w:rPr>
        <w:t xml:space="preserve">he removal of </w:t>
      </w:r>
      <w:r w:rsidR="008D15CB">
        <w:rPr>
          <w:rFonts w:cs="Arial"/>
          <w:szCs w:val="24"/>
        </w:rPr>
        <w:t>seniors housing</w:t>
      </w:r>
      <w:r w:rsidRPr="00F7525D">
        <w:rPr>
          <w:rFonts w:cs="Arial"/>
          <w:szCs w:val="24"/>
        </w:rPr>
        <w:t xml:space="preserve"> from the OLSH site </w:t>
      </w:r>
      <w:r w:rsidR="00090DDA">
        <w:rPr>
          <w:rFonts w:cs="Arial"/>
          <w:szCs w:val="24"/>
        </w:rPr>
        <w:t xml:space="preserve">is </w:t>
      </w:r>
      <w:r w:rsidRPr="00F7525D">
        <w:rPr>
          <w:rFonts w:cs="Arial"/>
          <w:szCs w:val="24"/>
        </w:rPr>
        <w:t>contrary to Council’s policy of supporting infill development in suitable locations, and providing for housing choice while recognising Bowral as a Ma</w:t>
      </w:r>
      <w:r w:rsidR="00F7525D" w:rsidRPr="00F7525D">
        <w:rPr>
          <w:rFonts w:cs="Arial"/>
          <w:szCs w:val="24"/>
        </w:rPr>
        <w:t>jor R</w:t>
      </w:r>
      <w:r w:rsidRPr="00F7525D">
        <w:rPr>
          <w:rFonts w:cs="Arial"/>
          <w:szCs w:val="24"/>
        </w:rPr>
        <w:t>egional Centre</w:t>
      </w:r>
      <w:bookmarkEnd w:id="5"/>
      <w:r w:rsidR="00D843C1">
        <w:rPr>
          <w:rFonts w:cs="Arial"/>
          <w:szCs w:val="24"/>
        </w:rPr>
        <w:t>.</w:t>
      </w:r>
      <w:r w:rsidR="00F7525D" w:rsidRPr="00F7525D">
        <w:rPr>
          <w:rFonts w:cs="Arial"/>
          <w:szCs w:val="24"/>
        </w:rPr>
        <w:t xml:space="preserve"> This planning proposal if it proceeds will remove the </w:t>
      </w:r>
      <w:r w:rsidR="00B2111F">
        <w:rPr>
          <w:rFonts w:cs="Arial"/>
          <w:szCs w:val="24"/>
        </w:rPr>
        <w:t xml:space="preserve">potential for seniors housing within </w:t>
      </w:r>
      <w:r w:rsidR="00F7525D" w:rsidRPr="00F7525D">
        <w:rPr>
          <w:rFonts w:cs="Arial"/>
          <w:szCs w:val="24"/>
        </w:rPr>
        <w:t xml:space="preserve">walking distance of the Bowral town centre. </w:t>
      </w:r>
    </w:p>
    <w:p w:rsidR="00BC4C86" w:rsidRPr="00B472EE" w:rsidRDefault="00BC4C86" w:rsidP="00BC4C86">
      <w:pPr>
        <w:tabs>
          <w:tab w:val="left" w:pos="2520"/>
        </w:tabs>
        <w:spacing w:before="120" w:after="120"/>
        <w:rPr>
          <w:rFonts w:cs="Arial"/>
          <w:b/>
          <w:szCs w:val="24"/>
        </w:rPr>
      </w:pPr>
      <w:r w:rsidRPr="00B472EE">
        <w:rPr>
          <w:rFonts w:cs="Arial"/>
          <w:b/>
          <w:szCs w:val="24"/>
        </w:rPr>
        <w:t>Section 9.1 Ministerial Directions</w:t>
      </w:r>
    </w:p>
    <w:p w:rsidR="00006DFF" w:rsidRPr="005F38F2" w:rsidRDefault="00247615" w:rsidP="00BC4C86">
      <w:pPr>
        <w:tabs>
          <w:tab w:val="left" w:pos="2520"/>
        </w:tabs>
        <w:spacing w:before="120" w:after="120"/>
        <w:rPr>
          <w:rFonts w:cs="Arial"/>
          <w:szCs w:val="24"/>
        </w:rPr>
      </w:pPr>
      <w:r w:rsidRPr="005F38F2">
        <w:rPr>
          <w:rFonts w:cs="Arial"/>
          <w:szCs w:val="24"/>
        </w:rPr>
        <w:t>S 9</w:t>
      </w:r>
      <w:r w:rsidR="008D41C2" w:rsidRPr="005F38F2">
        <w:rPr>
          <w:rFonts w:cs="Arial"/>
          <w:szCs w:val="24"/>
        </w:rPr>
        <w:t>.1</w:t>
      </w:r>
      <w:r w:rsidRPr="005F38F2">
        <w:rPr>
          <w:rFonts w:cs="Arial"/>
          <w:szCs w:val="24"/>
        </w:rPr>
        <w:t xml:space="preserve"> Directions </w:t>
      </w:r>
      <w:r w:rsidR="00D02494" w:rsidRPr="005F38F2">
        <w:rPr>
          <w:rFonts w:cs="Arial"/>
          <w:szCs w:val="24"/>
        </w:rPr>
        <w:t>2.3 Heritage Conservation,3.1 Residential Zones, 3.4 Integrating La</w:t>
      </w:r>
      <w:r w:rsidR="008D41C2" w:rsidRPr="005F38F2">
        <w:rPr>
          <w:rFonts w:cs="Arial"/>
          <w:szCs w:val="24"/>
        </w:rPr>
        <w:t xml:space="preserve">nd Use and Transport, </w:t>
      </w:r>
      <w:r w:rsidR="00966719" w:rsidRPr="005F38F2">
        <w:rPr>
          <w:rFonts w:cs="Arial"/>
          <w:szCs w:val="24"/>
        </w:rPr>
        <w:t xml:space="preserve">5.1 Sydney Drinking Water Catchments, </w:t>
      </w:r>
      <w:r w:rsidR="008D41C2" w:rsidRPr="005F38F2">
        <w:rPr>
          <w:rFonts w:cs="Arial"/>
          <w:szCs w:val="24"/>
        </w:rPr>
        <w:t>5.10 Implementation of R</w:t>
      </w:r>
      <w:r w:rsidR="00006DFF" w:rsidRPr="005F38F2">
        <w:rPr>
          <w:rFonts w:cs="Arial"/>
          <w:szCs w:val="24"/>
        </w:rPr>
        <w:t>egional Plans all</w:t>
      </w:r>
      <w:r w:rsidR="00D02494" w:rsidRPr="005F38F2">
        <w:rPr>
          <w:rFonts w:cs="Arial"/>
          <w:szCs w:val="24"/>
        </w:rPr>
        <w:t xml:space="preserve"> </w:t>
      </w:r>
      <w:r w:rsidRPr="005F38F2">
        <w:rPr>
          <w:rFonts w:cs="Arial"/>
          <w:szCs w:val="24"/>
        </w:rPr>
        <w:t>apply</w:t>
      </w:r>
      <w:r w:rsidR="00006DFF" w:rsidRPr="005F38F2">
        <w:rPr>
          <w:rFonts w:cs="Arial"/>
          <w:szCs w:val="24"/>
        </w:rPr>
        <w:t xml:space="preserve"> to the planning proposal.</w:t>
      </w:r>
      <w:r w:rsidR="008D41C2" w:rsidRPr="005F38F2">
        <w:rPr>
          <w:rFonts w:cs="Arial"/>
          <w:szCs w:val="24"/>
        </w:rPr>
        <w:t xml:space="preserve"> </w:t>
      </w:r>
    </w:p>
    <w:p w:rsidR="00B2111F" w:rsidRDefault="009D2580" w:rsidP="00006DFF">
      <w:pPr>
        <w:tabs>
          <w:tab w:val="left" w:pos="2520"/>
        </w:tabs>
        <w:spacing w:before="120" w:after="120"/>
      </w:pPr>
      <w:bookmarkStart w:id="6" w:name="_Hlk509921724"/>
      <w:r w:rsidRPr="00B2111F">
        <w:rPr>
          <w:rFonts w:cs="Arial"/>
          <w:szCs w:val="24"/>
        </w:rPr>
        <w:t>Direction 3.1 Residential Zone</w:t>
      </w:r>
      <w:r w:rsidRPr="00B2111F">
        <w:rPr>
          <w:rFonts w:cs="Arial"/>
          <w:i/>
          <w:szCs w:val="24"/>
        </w:rPr>
        <w:t>s</w:t>
      </w:r>
      <w:r w:rsidRPr="005F38F2">
        <w:t xml:space="preserve"> </w:t>
      </w:r>
      <w:r w:rsidR="00B2111F">
        <w:t xml:space="preserve">applies </w:t>
      </w:r>
      <w:r>
        <w:t xml:space="preserve">as </w:t>
      </w:r>
      <w:r w:rsidR="00B2111F">
        <w:t xml:space="preserve">the proposal </w:t>
      </w:r>
      <w:r>
        <w:t xml:space="preserve">will affect land within an existing residential zone in which significant residential development is permitted. </w:t>
      </w:r>
      <w:r w:rsidR="00B2111F">
        <w:t xml:space="preserve">The planning proposal is inconsistent with the Direction as it does not broaden the choice of housing or make more efficient use of existing infrastructure. In fact, it reduces the development potential of the site. </w:t>
      </w:r>
    </w:p>
    <w:p w:rsidR="00006DFF" w:rsidRPr="004D0EE7" w:rsidRDefault="00006DFF" w:rsidP="00006DFF">
      <w:pPr>
        <w:tabs>
          <w:tab w:val="left" w:pos="2520"/>
        </w:tabs>
        <w:spacing w:before="120" w:after="120"/>
        <w:rPr>
          <w:rFonts w:cs="Arial"/>
          <w:i/>
          <w:szCs w:val="24"/>
        </w:rPr>
      </w:pPr>
      <w:r w:rsidRPr="005F38F2">
        <w:rPr>
          <w:rFonts w:cs="Arial"/>
          <w:szCs w:val="24"/>
        </w:rPr>
        <w:lastRenderedPageBreak/>
        <w:t xml:space="preserve">In respect to </w:t>
      </w:r>
      <w:r w:rsidRPr="00B2111F">
        <w:rPr>
          <w:rFonts w:cs="Arial"/>
          <w:szCs w:val="24"/>
        </w:rPr>
        <w:t xml:space="preserve">Direction 5.10 </w:t>
      </w:r>
      <w:r w:rsidR="005F38F2" w:rsidRPr="00B2111F">
        <w:rPr>
          <w:rFonts w:cs="Arial"/>
          <w:szCs w:val="24"/>
        </w:rPr>
        <w:t>Implementation of Regional Plans</w:t>
      </w:r>
      <w:r w:rsidR="005F38F2" w:rsidRPr="005F38F2">
        <w:rPr>
          <w:rFonts w:cs="Arial"/>
          <w:szCs w:val="24"/>
        </w:rPr>
        <w:t xml:space="preserve"> </w:t>
      </w:r>
      <w:r w:rsidR="00B2111F">
        <w:rPr>
          <w:rFonts w:cs="Arial"/>
          <w:szCs w:val="24"/>
        </w:rPr>
        <w:t>t</w:t>
      </w:r>
      <w:r w:rsidRPr="005F38F2">
        <w:rPr>
          <w:rFonts w:cs="Arial"/>
          <w:szCs w:val="24"/>
        </w:rPr>
        <w:t>he planning proposal is not consistent with the South East and Regional Plan. In respect to Direction 24</w:t>
      </w:r>
      <w:r w:rsidR="005F38F2">
        <w:rPr>
          <w:rFonts w:cs="Arial"/>
          <w:szCs w:val="24"/>
        </w:rPr>
        <w:t xml:space="preserve"> </w:t>
      </w:r>
      <w:r w:rsidRPr="005F38F2">
        <w:rPr>
          <w:rFonts w:cs="Arial"/>
          <w:szCs w:val="24"/>
        </w:rPr>
        <w:t xml:space="preserve">of the Regional </w:t>
      </w:r>
      <w:r w:rsidR="0093003F">
        <w:rPr>
          <w:rFonts w:cs="Arial"/>
          <w:szCs w:val="24"/>
        </w:rPr>
        <w:t>Plan</w:t>
      </w:r>
      <w:r w:rsidRPr="005F38F2">
        <w:rPr>
          <w:rFonts w:cs="Arial"/>
          <w:szCs w:val="24"/>
        </w:rPr>
        <w:t xml:space="preserve"> - </w:t>
      </w:r>
      <w:r w:rsidRPr="005F38F2">
        <w:rPr>
          <w:rFonts w:cs="Arial"/>
          <w:i/>
          <w:szCs w:val="24"/>
        </w:rPr>
        <w:t>Deliver greater housing supply and choice</w:t>
      </w:r>
      <w:r w:rsidR="004D0EE7">
        <w:rPr>
          <w:rFonts w:cs="Arial"/>
          <w:i/>
          <w:szCs w:val="24"/>
        </w:rPr>
        <w:t>.</w:t>
      </w:r>
    </w:p>
    <w:p w:rsidR="00006DFF" w:rsidRDefault="004D0EE7" w:rsidP="00006DFF">
      <w:pPr>
        <w:tabs>
          <w:tab w:val="left" w:pos="2520"/>
        </w:tabs>
        <w:spacing w:before="120" w:after="120"/>
        <w:rPr>
          <w:rFonts w:cs="Arial"/>
          <w:szCs w:val="24"/>
        </w:rPr>
      </w:pPr>
      <w:r>
        <w:rPr>
          <w:rFonts w:cs="Arial"/>
          <w:szCs w:val="24"/>
        </w:rPr>
        <w:t>T</w:t>
      </w:r>
      <w:r w:rsidR="00006DFF">
        <w:rPr>
          <w:rFonts w:cs="Arial"/>
          <w:szCs w:val="24"/>
        </w:rPr>
        <w:t xml:space="preserve">he Department in considering the Wingecarribee Local Planning Strategy 2015-2031 did not endorse Chapter 4 which dealt specifically with housing supply issues. </w:t>
      </w:r>
    </w:p>
    <w:p w:rsidR="00006DFF" w:rsidRDefault="00006DFF" w:rsidP="00006DFF">
      <w:pPr>
        <w:tabs>
          <w:tab w:val="left" w:pos="2520"/>
        </w:tabs>
        <w:spacing w:before="120" w:after="120"/>
        <w:rPr>
          <w:rFonts w:cs="Arial"/>
          <w:szCs w:val="24"/>
        </w:rPr>
      </w:pPr>
      <w:r>
        <w:rPr>
          <w:rFonts w:cs="Arial"/>
          <w:szCs w:val="24"/>
        </w:rPr>
        <w:t>T</w:t>
      </w:r>
      <w:r w:rsidR="00435501">
        <w:rPr>
          <w:rFonts w:cs="Arial"/>
          <w:szCs w:val="24"/>
        </w:rPr>
        <w:t xml:space="preserve">he </w:t>
      </w:r>
      <w:r w:rsidR="00B2111F">
        <w:rPr>
          <w:rFonts w:cs="Arial"/>
          <w:szCs w:val="24"/>
        </w:rPr>
        <w:t>reduction of</w:t>
      </w:r>
      <w:r w:rsidRPr="00F2284E">
        <w:rPr>
          <w:rFonts w:cs="Arial"/>
          <w:szCs w:val="24"/>
        </w:rPr>
        <w:t xml:space="preserve"> </w:t>
      </w:r>
      <w:r w:rsidR="00B2111F">
        <w:rPr>
          <w:rFonts w:cs="Arial"/>
          <w:szCs w:val="24"/>
        </w:rPr>
        <w:t xml:space="preserve">development potential </w:t>
      </w:r>
      <w:r w:rsidRPr="00F2284E">
        <w:rPr>
          <w:rFonts w:cs="Arial"/>
          <w:szCs w:val="24"/>
        </w:rPr>
        <w:t xml:space="preserve">on the OLSH site is inconsistent with the intent of </w:t>
      </w:r>
      <w:r>
        <w:rPr>
          <w:rFonts w:cs="Arial"/>
          <w:szCs w:val="24"/>
        </w:rPr>
        <w:t xml:space="preserve">the </w:t>
      </w:r>
      <w:r w:rsidR="00B2111F">
        <w:rPr>
          <w:rFonts w:cs="Arial"/>
          <w:szCs w:val="24"/>
        </w:rPr>
        <w:t xml:space="preserve">Regional Plan. </w:t>
      </w:r>
    </w:p>
    <w:bookmarkEnd w:id="6"/>
    <w:p w:rsidR="005F38F2" w:rsidRPr="004D0EE7" w:rsidRDefault="004D0EE7" w:rsidP="00BC4C86">
      <w:pPr>
        <w:tabs>
          <w:tab w:val="left" w:pos="2520"/>
        </w:tabs>
        <w:spacing w:before="120" w:after="120"/>
        <w:rPr>
          <w:rFonts w:cs="Arial"/>
          <w:szCs w:val="24"/>
        </w:rPr>
      </w:pPr>
      <w:r w:rsidRPr="00AC27D6">
        <w:rPr>
          <w:rFonts w:cs="Arial"/>
          <w:szCs w:val="24"/>
        </w:rPr>
        <w:t>Recommendation</w:t>
      </w:r>
      <w:r w:rsidR="005F38F2" w:rsidRPr="00AC27D6">
        <w:rPr>
          <w:rFonts w:cs="Arial"/>
          <w:szCs w:val="24"/>
        </w:rPr>
        <w:t xml:space="preserve">: </w:t>
      </w:r>
      <w:r w:rsidRPr="00AC27D6">
        <w:rPr>
          <w:rFonts w:cs="Arial"/>
          <w:szCs w:val="24"/>
        </w:rPr>
        <w:t xml:space="preserve">The </w:t>
      </w:r>
      <w:r w:rsidR="00B2111F">
        <w:rPr>
          <w:rFonts w:cs="Arial"/>
          <w:szCs w:val="24"/>
        </w:rPr>
        <w:t xml:space="preserve">Secretaries delegate forms the view that the proposal is inconsistent with </w:t>
      </w:r>
      <w:r w:rsidRPr="00AC27D6">
        <w:rPr>
          <w:rFonts w:cs="Arial"/>
          <w:szCs w:val="24"/>
        </w:rPr>
        <w:t>s9.1 Directions 3.1 Residential Zone</w:t>
      </w:r>
      <w:r w:rsidRPr="00AC27D6">
        <w:rPr>
          <w:rFonts w:cs="Arial"/>
          <w:i/>
          <w:szCs w:val="24"/>
        </w:rPr>
        <w:t xml:space="preserve"> </w:t>
      </w:r>
      <w:r w:rsidRPr="00435501">
        <w:rPr>
          <w:rFonts w:cs="Arial"/>
          <w:szCs w:val="24"/>
        </w:rPr>
        <w:t>and</w:t>
      </w:r>
      <w:r w:rsidRPr="00AC27D6">
        <w:rPr>
          <w:rFonts w:cs="Arial"/>
          <w:szCs w:val="24"/>
        </w:rPr>
        <w:t xml:space="preserve"> 5.10 Implementation of Regional Plans</w:t>
      </w:r>
      <w:r w:rsidR="001A3E7B" w:rsidRPr="00AC27D6">
        <w:rPr>
          <w:rFonts w:cs="Arial"/>
          <w:szCs w:val="24"/>
        </w:rPr>
        <w:t>.</w:t>
      </w:r>
      <w:r>
        <w:rPr>
          <w:rFonts w:cs="Arial"/>
          <w:szCs w:val="24"/>
        </w:rPr>
        <w:t xml:space="preserve"> </w:t>
      </w:r>
    </w:p>
    <w:p w:rsidR="00BC4C86" w:rsidRPr="00B472EE" w:rsidRDefault="00BC4C86" w:rsidP="00BC4C86">
      <w:pPr>
        <w:tabs>
          <w:tab w:val="left" w:pos="2520"/>
        </w:tabs>
        <w:spacing w:before="120" w:after="120"/>
        <w:rPr>
          <w:rFonts w:cs="Arial"/>
          <w:b/>
          <w:szCs w:val="24"/>
        </w:rPr>
      </w:pPr>
      <w:r>
        <w:rPr>
          <w:rFonts w:cs="Arial"/>
          <w:b/>
          <w:szCs w:val="24"/>
        </w:rPr>
        <w:t>State e</w:t>
      </w:r>
      <w:r w:rsidRPr="00B472EE">
        <w:rPr>
          <w:rFonts w:cs="Arial"/>
          <w:b/>
          <w:szCs w:val="24"/>
        </w:rPr>
        <w:t xml:space="preserve">nvironmental </w:t>
      </w:r>
      <w:r>
        <w:rPr>
          <w:rFonts w:cs="Arial"/>
          <w:b/>
          <w:szCs w:val="24"/>
        </w:rPr>
        <w:t>p</w:t>
      </w:r>
      <w:r w:rsidRPr="00B472EE">
        <w:rPr>
          <w:rFonts w:cs="Arial"/>
          <w:b/>
          <w:szCs w:val="24"/>
        </w:rPr>
        <w:t xml:space="preserve">lanning </w:t>
      </w:r>
      <w:r>
        <w:rPr>
          <w:rFonts w:cs="Arial"/>
          <w:b/>
          <w:szCs w:val="24"/>
        </w:rPr>
        <w:t>p</w:t>
      </w:r>
      <w:r w:rsidRPr="00B472EE">
        <w:rPr>
          <w:rFonts w:cs="Arial"/>
          <w:b/>
          <w:szCs w:val="24"/>
        </w:rPr>
        <w:t>olicies</w:t>
      </w:r>
    </w:p>
    <w:p w:rsidR="00AD593E" w:rsidRPr="009C479A" w:rsidRDefault="00435501" w:rsidP="00BC4C86">
      <w:pPr>
        <w:tabs>
          <w:tab w:val="left" w:pos="2520"/>
        </w:tabs>
        <w:spacing w:before="120" w:after="120"/>
        <w:rPr>
          <w:rFonts w:cs="Arial"/>
          <w:szCs w:val="24"/>
        </w:rPr>
      </w:pPr>
      <w:r>
        <w:rPr>
          <w:rFonts w:cs="Arial"/>
          <w:szCs w:val="24"/>
        </w:rPr>
        <w:t>SEPP</w:t>
      </w:r>
      <w:r w:rsidR="00D54FDD" w:rsidRPr="009C479A">
        <w:rPr>
          <w:rFonts w:cs="Arial"/>
          <w:szCs w:val="24"/>
        </w:rPr>
        <w:t xml:space="preserve"> 44 Koal</w:t>
      </w:r>
      <w:r w:rsidR="00AD593E" w:rsidRPr="009C479A">
        <w:rPr>
          <w:rFonts w:cs="Arial"/>
          <w:szCs w:val="24"/>
        </w:rPr>
        <w:t>a Habitat Protection applies across the whole Local Government Area. All planning proposals are considered to be consistent with the SEPP as</w:t>
      </w:r>
      <w:r w:rsidR="00281E97">
        <w:rPr>
          <w:rFonts w:cs="Arial"/>
          <w:szCs w:val="24"/>
        </w:rPr>
        <w:t xml:space="preserve"> it requires </w:t>
      </w:r>
      <w:r w:rsidR="00AD593E" w:rsidRPr="009C479A">
        <w:rPr>
          <w:rFonts w:cs="Arial"/>
          <w:szCs w:val="24"/>
        </w:rPr>
        <w:t xml:space="preserve"> the preparation of a Local Environmental Study at the development application stage.</w:t>
      </w:r>
    </w:p>
    <w:p w:rsidR="00BC4C86" w:rsidRPr="009C479A" w:rsidRDefault="00D54FDD" w:rsidP="00BC4C86">
      <w:pPr>
        <w:tabs>
          <w:tab w:val="left" w:pos="2520"/>
        </w:tabs>
        <w:spacing w:before="120" w:after="120"/>
        <w:rPr>
          <w:rFonts w:cs="Arial"/>
          <w:szCs w:val="24"/>
        </w:rPr>
      </w:pPr>
      <w:r w:rsidRPr="009C479A">
        <w:rPr>
          <w:rFonts w:cs="Arial"/>
          <w:szCs w:val="24"/>
        </w:rPr>
        <w:t>SEPP</w:t>
      </w:r>
      <w:r w:rsidR="00AD593E" w:rsidRPr="009C479A">
        <w:rPr>
          <w:rFonts w:cs="Arial"/>
          <w:szCs w:val="24"/>
        </w:rPr>
        <w:t xml:space="preserve"> </w:t>
      </w:r>
      <w:r w:rsidRPr="009C479A">
        <w:rPr>
          <w:rFonts w:cs="Arial"/>
          <w:szCs w:val="24"/>
        </w:rPr>
        <w:t>Sydney</w:t>
      </w:r>
      <w:r w:rsidR="00AD593E" w:rsidRPr="009C479A">
        <w:rPr>
          <w:rFonts w:cs="Arial"/>
          <w:szCs w:val="24"/>
        </w:rPr>
        <w:t xml:space="preserve"> Drinking Water C</w:t>
      </w:r>
      <w:r w:rsidRPr="009C479A">
        <w:rPr>
          <w:rFonts w:cs="Arial"/>
          <w:szCs w:val="24"/>
        </w:rPr>
        <w:t xml:space="preserve">atchment 2011 </w:t>
      </w:r>
      <w:r w:rsidR="009C479A" w:rsidRPr="009C479A">
        <w:rPr>
          <w:rFonts w:cs="Arial"/>
          <w:szCs w:val="24"/>
        </w:rPr>
        <w:t>applies across over 86% of the Wingecarribee Local Gover</w:t>
      </w:r>
      <w:r w:rsidR="00B2111F">
        <w:rPr>
          <w:rFonts w:cs="Arial"/>
          <w:szCs w:val="24"/>
        </w:rPr>
        <w:t xml:space="preserve">nment Area </w:t>
      </w:r>
      <w:r w:rsidR="0093003F">
        <w:rPr>
          <w:rFonts w:cs="Arial"/>
          <w:szCs w:val="24"/>
        </w:rPr>
        <w:t>including</w:t>
      </w:r>
      <w:r w:rsidR="00B2111F">
        <w:rPr>
          <w:rFonts w:cs="Arial"/>
          <w:szCs w:val="24"/>
        </w:rPr>
        <w:t xml:space="preserve"> the subject site</w:t>
      </w:r>
      <w:r w:rsidR="009C479A" w:rsidRPr="009C479A">
        <w:rPr>
          <w:rFonts w:cs="Arial"/>
          <w:szCs w:val="24"/>
        </w:rPr>
        <w:t xml:space="preserve">. </w:t>
      </w:r>
      <w:r w:rsidR="00876F19">
        <w:rPr>
          <w:rFonts w:cs="Arial"/>
          <w:szCs w:val="24"/>
        </w:rPr>
        <w:t>Council has not sought the views of Sydney Catchment Authority as the planning proposal seeks to remove the permissibility of seniors living from the site which is impacted upon by the SEPP</w:t>
      </w:r>
      <w:r w:rsidR="00347C6F">
        <w:rPr>
          <w:rFonts w:cs="Arial"/>
          <w:szCs w:val="24"/>
        </w:rPr>
        <w:t>, reducing the potential impacts of future development on the catchment</w:t>
      </w:r>
      <w:r w:rsidR="00876F19">
        <w:rPr>
          <w:rFonts w:cs="Arial"/>
          <w:szCs w:val="24"/>
        </w:rPr>
        <w:t xml:space="preserve">. </w:t>
      </w:r>
      <w:r w:rsidR="009C479A" w:rsidRPr="009C479A">
        <w:rPr>
          <w:rFonts w:cs="Arial"/>
          <w:szCs w:val="24"/>
        </w:rPr>
        <w:t>Any impacts arising from a future development on the site would be assessed at the DA stage.</w:t>
      </w:r>
      <w:r w:rsidR="00090DDA">
        <w:rPr>
          <w:rFonts w:cs="Arial"/>
          <w:szCs w:val="24"/>
        </w:rPr>
        <w:t xml:space="preserve"> </w:t>
      </w:r>
    </w:p>
    <w:p w:rsidR="008F29DF" w:rsidRPr="00B16905" w:rsidRDefault="009C479A" w:rsidP="00B16905">
      <w:pPr>
        <w:tabs>
          <w:tab w:val="left" w:pos="2520"/>
        </w:tabs>
        <w:spacing w:before="120" w:after="120"/>
        <w:rPr>
          <w:rFonts w:cs="Arial"/>
          <w:szCs w:val="24"/>
        </w:rPr>
      </w:pPr>
      <w:r w:rsidRPr="009C479A">
        <w:rPr>
          <w:rFonts w:cs="Arial"/>
          <w:szCs w:val="24"/>
        </w:rPr>
        <w:t>Recommendation: The Secretary’s delegate can be satisfied that the planning propo</w:t>
      </w:r>
      <w:r w:rsidR="0072191F">
        <w:rPr>
          <w:rFonts w:cs="Arial"/>
          <w:szCs w:val="24"/>
        </w:rPr>
        <w:t>sal is consistent with SEPP 44</w:t>
      </w:r>
      <w:r w:rsidR="00347C6F">
        <w:rPr>
          <w:rFonts w:cs="Arial"/>
          <w:szCs w:val="24"/>
        </w:rPr>
        <w:t xml:space="preserve"> and the</w:t>
      </w:r>
      <w:r w:rsidRPr="009C479A">
        <w:rPr>
          <w:rFonts w:cs="Arial"/>
          <w:szCs w:val="24"/>
        </w:rPr>
        <w:t xml:space="preserve"> Sydney Drinking Water SEPP</w:t>
      </w:r>
      <w:r w:rsidR="00347C6F">
        <w:rPr>
          <w:rFonts w:cs="Arial"/>
          <w:szCs w:val="24"/>
        </w:rPr>
        <w:t>.</w:t>
      </w:r>
      <w:r w:rsidRPr="009C479A">
        <w:rPr>
          <w:rFonts w:cs="Arial"/>
          <w:szCs w:val="24"/>
        </w:rPr>
        <w:t xml:space="preserve"> </w:t>
      </w:r>
    </w:p>
    <w:p w:rsidR="00347C6F" w:rsidRDefault="00347C6F" w:rsidP="00BC4C86">
      <w:pPr>
        <w:pBdr>
          <w:bottom w:val="single" w:sz="4" w:space="1" w:color="auto"/>
        </w:pBdr>
        <w:tabs>
          <w:tab w:val="left" w:pos="2520"/>
        </w:tabs>
        <w:spacing w:before="120" w:after="120"/>
        <w:rPr>
          <w:rFonts w:cs="Arial"/>
          <w:b/>
        </w:rPr>
      </w:pP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t>SITE-SPECIFIC ASSESSMENT</w:t>
      </w:r>
    </w:p>
    <w:p w:rsidR="00BC4C86" w:rsidRDefault="00BC4C86" w:rsidP="00BC4C86">
      <w:pPr>
        <w:tabs>
          <w:tab w:val="left" w:pos="2520"/>
        </w:tabs>
        <w:spacing w:before="120" w:after="120"/>
        <w:rPr>
          <w:rFonts w:cs="Arial"/>
          <w:b/>
          <w:szCs w:val="24"/>
        </w:rPr>
      </w:pPr>
      <w:r w:rsidRPr="00B472EE">
        <w:rPr>
          <w:rFonts w:cs="Arial"/>
          <w:b/>
          <w:szCs w:val="24"/>
        </w:rPr>
        <w:t>Social</w:t>
      </w:r>
    </w:p>
    <w:p w:rsidR="009C479A" w:rsidRPr="00A72E86" w:rsidRDefault="00A72E86" w:rsidP="00BC4C86">
      <w:pPr>
        <w:tabs>
          <w:tab w:val="left" w:pos="2520"/>
        </w:tabs>
        <w:spacing w:before="120" w:after="120"/>
        <w:rPr>
          <w:rFonts w:cs="Arial"/>
          <w:szCs w:val="24"/>
        </w:rPr>
      </w:pPr>
      <w:r>
        <w:rPr>
          <w:rFonts w:cs="Arial"/>
          <w:szCs w:val="24"/>
        </w:rPr>
        <w:t xml:space="preserve">The growing demographic </w:t>
      </w:r>
      <w:r w:rsidR="00D843C1">
        <w:rPr>
          <w:rFonts w:cs="Arial"/>
          <w:szCs w:val="24"/>
        </w:rPr>
        <w:t xml:space="preserve">trend </w:t>
      </w:r>
      <w:r>
        <w:rPr>
          <w:rFonts w:cs="Arial"/>
          <w:szCs w:val="24"/>
        </w:rPr>
        <w:t xml:space="preserve">across the entire local government area is for an ageing community. The removal of </w:t>
      </w:r>
      <w:r w:rsidR="008D15CB">
        <w:rPr>
          <w:rFonts w:cs="Arial"/>
          <w:szCs w:val="24"/>
        </w:rPr>
        <w:t>seniors housing</w:t>
      </w:r>
      <w:r>
        <w:rPr>
          <w:rFonts w:cs="Arial"/>
          <w:szCs w:val="24"/>
        </w:rPr>
        <w:t xml:space="preserve"> from the OLSH site will reduce the potential </w:t>
      </w:r>
      <w:r w:rsidR="0072191F">
        <w:rPr>
          <w:rFonts w:cs="Arial"/>
          <w:szCs w:val="24"/>
        </w:rPr>
        <w:t>senior’s</w:t>
      </w:r>
      <w:r>
        <w:rPr>
          <w:rFonts w:cs="Arial"/>
          <w:szCs w:val="24"/>
        </w:rPr>
        <w:t xml:space="preserve"> hou</w:t>
      </w:r>
      <w:r w:rsidR="007E4E1B">
        <w:rPr>
          <w:rFonts w:cs="Arial"/>
          <w:szCs w:val="24"/>
        </w:rPr>
        <w:t>sing</w:t>
      </w:r>
      <w:r w:rsidRPr="00A72E86">
        <w:rPr>
          <w:rFonts w:cs="Arial"/>
          <w:szCs w:val="24"/>
        </w:rPr>
        <w:t xml:space="preserve"> </w:t>
      </w:r>
      <w:r w:rsidR="007E4E1B">
        <w:rPr>
          <w:rFonts w:cs="Arial"/>
          <w:szCs w:val="24"/>
        </w:rPr>
        <w:t xml:space="preserve">options </w:t>
      </w:r>
      <w:r w:rsidR="0072191F">
        <w:rPr>
          <w:rFonts w:cs="Arial"/>
          <w:szCs w:val="24"/>
        </w:rPr>
        <w:t>in the Bowral area. This</w:t>
      </w:r>
      <w:r w:rsidR="007E4E1B">
        <w:rPr>
          <w:rFonts w:cs="Arial"/>
          <w:szCs w:val="24"/>
        </w:rPr>
        <w:t xml:space="preserve"> which will make it harder for aging residents to </w:t>
      </w:r>
      <w:r w:rsidR="00876F19">
        <w:rPr>
          <w:rFonts w:cs="Arial"/>
          <w:szCs w:val="24"/>
        </w:rPr>
        <w:t xml:space="preserve">live </w:t>
      </w:r>
      <w:r w:rsidR="007E4E1B">
        <w:rPr>
          <w:rFonts w:cs="Arial"/>
          <w:szCs w:val="24"/>
        </w:rPr>
        <w:t xml:space="preserve">in the Bowral and Burradoo </w:t>
      </w:r>
      <w:r w:rsidR="00876F19">
        <w:rPr>
          <w:rFonts w:cs="Arial"/>
          <w:szCs w:val="24"/>
        </w:rPr>
        <w:t>area</w:t>
      </w:r>
      <w:r w:rsidR="007E4E1B">
        <w:rPr>
          <w:rFonts w:cs="Arial"/>
          <w:szCs w:val="24"/>
        </w:rPr>
        <w:t xml:space="preserve">. </w:t>
      </w:r>
    </w:p>
    <w:p w:rsidR="00BC4C86" w:rsidRPr="00C426B5" w:rsidRDefault="00BC4C86" w:rsidP="00BC4C86">
      <w:pPr>
        <w:keepNext/>
        <w:tabs>
          <w:tab w:val="left" w:pos="2520"/>
        </w:tabs>
        <w:spacing w:before="120" w:after="120"/>
        <w:rPr>
          <w:rFonts w:cs="Arial"/>
          <w:b/>
          <w:szCs w:val="24"/>
        </w:rPr>
      </w:pPr>
      <w:r w:rsidRPr="00C426B5">
        <w:rPr>
          <w:rFonts w:cs="Arial"/>
          <w:b/>
          <w:szCs w:val="24"/>
        </w:rPr>
        <w:t>Environmental</w:t>
      </w:r>
    </w:p>
    <w:p w:rsidR="00BC4C86" w:rsidRPr="00D36F5D" w:rsidRDefault="007E4E1B" w:rsidP="00BC4C86">
      <w:pPr>
        <w:tabs>
          <w:tab w:val="left" w:pos="2520"/>
        </w:tabs>
        <w:spacing w:before="120" w:after="120"/>
        <w:rPr>
          <w:rFonts w:cs="Arial"/>
          <w:szCs w:val="24"/>
        </w:rPr>
      </w:pPr>
      <w:r w:rsidRPr="00D36F5D">
        <w:rPr>
          <w:rFonts w:cs="Arial"/>
          <w:szCs w:val="24"/>
        </w:rPr>
        <w:t xml:space="preserve">The OLSH site </w:t>
      </w:r>
      <w:r w:rsidR="00CF25F9" w:rsidRPr="00D36F5D">
        <w:rPr>
          <w:rFonts w:cs="Arial"/>
          <w:szCs w:val="24"/>
        </w:rPr>
        <w:t>includes an established avenue</w:t>
      </w:r>
      <w:r w:rsidRPr="00D36F5D">
        <w:rPr>
          <w:rFonts w:cs="Arial"/>
          <w:szCs w:val="24"/>
        </w:rPr>
        <w:t xml:space="preserve"> of exotic</w:t>
      </w:r>
      <w:r w:rsidR="00A4744A">
        <w:rPr>
          <w:rFonts w:cs="Arial"/>
          <w:szCs w:val="24"/>
        </w:rPr>
        <w:t xml:space="preserve"> trees</w:t>
      </w:r>
      <w:r w:rsidRPr="00D36F5D">
        <w:rPr>
          <w:rFonts w:cs="Arial"/>
          <w:szCs w:val="24"/>
        </w:rPr>
        <w:t xml:space="preserve">, a riparian zone, and includes an area subject to flooding which is zoned </w:t>
      </w:r>
      <w:r w:rsidR="00CF25F9" w:rsidRPr="00D36F5D">
        <w:rPr>
          <w:rFonts w:cs="Arial"/>
          <w:szCs w:val="24"/>
        </w:rPr>
        <w:t xml:space="preserve">Public </w:t>
      </w:r>
      <w:r w:rsidRPr="00D36F5D">
        <w:rPr>
          <w:rFonts w:cs="Arial"/>
          <w:szCs w:val="24"/>
        </w:rPr>
        <w:t xml:space="preserve">Recreation. </w:t>
      </w:r>
      <w:r w:rsidR="0072191F">
        <w:rPr>
          <w:rFonts w:cs="Arial"/>
          <w:szCs w:val="24"/>
        </w:rPr>
        <w:t xml:space="preserve">These matters must be addressed in any future development of the site, </w:t>
      </w:r>
      <w:r w:rsidR="00876F19">
        <w:rPr>
          <w:rFonts w:cs="Arial"/>
          <w:szCs w:val="24"/>
        </w:rPr>
        <w:t>including for large lot residential</w:t>
      </w:r>
      <w:r w:rsidR="00F03F32">
        <w:rPr>
          <w:rFonts w:cs="Arial"/>
          <w:szCs w:val="24"/>
        </w:rPr>
        <w:t xml:space="preserve"> </w:t>
      </w:r>
      <w:r w:rsidR="0072191F">
        <w:rPr>
          <w:rFonts w:cs="Arial"/>
          <w:szCs w:val="24"/>
        </w:rPr>
        <w:t xml:space="preserve">but do not render the site unsuitable for seniors housing. </w:t>
      </w:r>
    </w:p>
    <w:p w:rsidR="00BC4C86" w:rsidRPr="00D36F5D" w:rsidRDefault="00BC4C86" w:rsidP="00BC4C86">
      <w:pPr>
        <w:pStyle w:val="Heading1"/>
      </w:pPr>
      <w:r w:rsidRPr="00D36F5D">
        <w:t>Economic</w:t>
      </w:r>
    </w:p>
    <w:p w:rsidR="00E96EA2" w:rsidRDefault="00D36F5D" w:rsidP="00BC4C86">
      <w:pPr>
        <w:tabs>
          <w:tab w:val="left" w:pos="2520"/>
        </w:tabs>
        <w:spacing w:before="120" w:after="120"/>
        <w:rPr>
          <w:rFonts w:cs="Arial"/>
          <w:szCs w:val="24"/>
        </w:rPr>
      </w:pPr>
      <w:r w:rsidRPr="00D36F5D">
        <w:rPr>
          <w:rFonts w:cs="Arial"/>
          <w:szCs w:val="24"/>
        </w:rPr>
        <w:t xml:space="preserve">There is an active DA for </w:t>
      </w:r>
      <w:r w:rsidR="008D15CB">
        <w:rPr>
          <w:rFonts w:cs="Arial"/>
          <w:szCs w:val="24"/>
        </w:rPr>
        <w:t>seniors housing</w:t>
      </w:r>
      <w:r w:rsidRPr="00D36F5D">
        <w:rPr>
          <w:rFonts w:cs="Arial"/>
          <w:szCs w:val="24"/>
        </w:rPr>
        <w:t xml:space="preserve"> on the site </w:t>
      </w:r>
      <w:r w:rsidR="00F03F32">
        <w:rPr>
          <w:rFonts w:cs="Arial"/>
          <w:szCs w:val="24"/>
        </w:rPr>
        <w:t xml:space="preserve">with an estimated cost of </w:t>
      </w:r>
      <w:r w:rsidRPr="00D36F5D">
        <w:rPr>
          <w:rFonts w:cs="Arial"/>
          <w:szCs w:val="24"/>
        </w:rPr>
        <w:t>$37,642,000.00</w:t>
      </w:r>
      <w:r w:rsidR="0072191F">
        <w:rPr>
          <w:rFonts w:cs="Arial"/>
          <w:szCs w:val="24"/>
        </w:rPr>
        <w:t xml:space="preserve">. Should the site be developed for large lot residential as allowed in the zone this would </w:t>
      </w:r>
      <w:r w:rsidRPr="00D36F5D">
        <w:rPr>
          <w:rFonts w:cs="Arial"/>
          <w:szCs w:val="24"/>
        </w:rPr>
        <w:t xml:space="preserve">reduce the </w:t>
      </w:r>
      <w:r w:rsidR="00F03F32">
        <w:rPr>
          <w:rFonts w:cs="Arial"/>
          <w:szCs w:val="24"/>
        </w:rPr>
        <w:t xml:space="preserve">potential </w:t>
      </w:r>
      <w:r w:rsidRPr="00D36F5D">
        <w:rPr>
          <w:rFonts w:cs="Arial"/>
          <w:szCs w:val="24"/>
        </w:rPr>
        <w:t xml:space="preserve">for local economic benefits from new residents </w:t>
      </w:r>
      <w:r w:rsidR="00D843C1">
        <w:rPr>
          <w:rFonts w:cs="Arial"/>
          <w:szCs w:val="24"/>
        </w:rPr>
        <w:t xml:space="preserve">living </w:t>
      </w:r>
      <w:r w:rsidRPr="00D36F5D">
        <w:rPr>
          <w:rFonts w:cs="Arial"/>
          <w:szCs w:val="24"/>
        </w:rPr>
        <w:t xml:space="preserve">in the area, </w:t>
      </w:r>
      <w:r w:rsidR="0072191F">
        <w:rPr>
          <w:rFonts w:cs="Arial"/>
          <w:szCs w:val="24"/>
        </w:rPr>
        <w:t xml:space="preserve">and from construction related employment. </w:t>
      </w:r>
    </w:p>
    <w:p w:rsidR="00D843C1" w:rsidRPr="008F29DF" w:rsidRDefault="00E96EA2" w:rsidP="008F29DF">
      <w:pPr>
        <w:tabs>
          <w:tab w:val="left" w:pos="2520"/>
        </w:tabs>
        <w:spacing w:before="120" w:after="120"/>
        <w:rPr>
          <w:rFonts w:cs="Arial"/>
          <w:szCs w:val="24"/>
        </w:rPr>
      </w:pPr>
      <w:r>
        <w:rPr>
          <w:rFonts w:cs="Arial"/>
          <w:szCs w:val="24"/>
        </w:rPr>
        <w:t>The loss of 30 direct jobs associated with the</w:t>
      </w:r>
      <w:r w:rsidR="0072191F">
        <w:rPr>
          <w:rFonts w:cs="Arial"/>
          <w:szCs w:val="24"/>
        </w:rPr>
        <w:t xml:space="preserve"> operation of </w:t>
      </w:r>
      <w:r w:rsidR="008D15CB">
        <w:rPr>
          <w:rFonts w:cs="Arial"/>
          <w:szCs w:val="24"/>
        </w:rPr>
        <w:t>seniors housing</w:t>
      </w:r>
      <w:r>
        <w:rPr>
          <w:rFonts w:cs="Arial"/>
          <w:szCs w:val="24"/>
        </w:rPr>
        <w:t xml:space="preserve"> d</w:t>
      </w:r>
      <w:r w:rsidR="00F03F32">
        <w:rPr>
          <w:rFonts w:cs="Arial"/>
          <w:szCs w:val="24"/>
        </w:rPr>
        <w:t>evelopment on the site is a lost</w:t>
      </w:r>
      <w:r>
        <w:rPr>
          <w:rFonts w:cs="Arial"/>
          <w:szCs w:val="24"/>
        </w:rPr>
        <w:t xml:space="preserve"> local employment opportunity. </w:t>
      </w:r>
    </w:p>
    <w:p w:rsidR="00BC4C86" w:rsidRPr="00B472EE" w:rsidRDefault="00BC4C86" w:rsidP="00BC4C86">
      <w:pPr>
        <w:pBdr>
          <w:bottom w:val="single" w:sz="4" w:space="1" w:color="auto"/>
        </w:pBdr>
        <w:tabs>
          <w:tab w:val="left" w:pos="2520"/>
        </w:tabs>
        <w:spacing w:before="120" w:after="120"/>
        <w:rPr>
          <w:rFonts w:cs="Arial"/>
          <w:b/>
        </w:rPr>
      </w:pPr>
      <w:r w:rsidRPr="00B472EE">
        <w:rPr>
          <w:rFonts w:cs="Arial"/>
          <w:b/>
        </w:rPr>
        <w:lastRenderedPageBreak/>
        <w:t>CONSULTATION</w:t>
      </w:r>
    </w:p>
    <w:p w:rsidR="00BC4C86" w:rsidRPr="007A4FC9" w:rsidRDefault="00BC4C86" w:rsidP="00BC4C86">
      <w:pPr>
        <w:tabs>
          <w:tab w:val="left" w:pos="2520"/>
        </w:tabs>
        <w:spacing w:before="120" w:after="120"/>
        <w:rPr>
          <w:rFonts w:cs="Arial"/>
          <w:b/>
          <w:szCs w:val="24"/>
        </w:rPr>
      </w:pPr>
      <w:r w:rsidRPr="007A4FC9">
        <w:rPr>
          <w:rFonts w:cs="Arial"/>
          <w:b/>
          <w:szCs w:val="24"/>
        </w:rPr>
        <w:t>Community</w:t>
      </w:r>
    </w:p>
    <w:p w:rsidR="008F29DF" w:rsidRPr="00785454" w:rsidRDefault="00435501" w:rsidP="00BC4C86">
      <w:pPr>
        <w:tabs>
          <w:tab w:val="left" w:pos="2520"/>
        </w:tabs>
        <w:spacing w:before="120" w:after="120"/>
        <w:rPr>
          <w:rFonts w:cs="Arial"/>
          <w:szCs w:val="24"/>
        </w:rPr>
      </w:pPr>
      <w:r w:rsidRPr="007A4FC9">
        <w:rPr>
          <w:rFonts w:cs="Arial"/>
          <w:szCs w:val="24"/>
        </w:rPr>
        <w:t>Council has proposed an exhibition period of 28 days which is adequate</w:t>
      </w:r>
      <w:r w:rsidR="00D843C1">
        <w:rPr>
          <w:rFonts w:cs="Arial"/>
          <w:szCs w:val="24"/>
        </w:rPr>
        <w:t xml:space="preserve"> if the planning proposal proceeds to exhibition</w:t>
      </w:r>
      <w:r w:rsidRPr="007A4FC9">
        <w:rPr>
          <w:rFonts w:cs="Arial"/>
          <w:szCs w:val="24"/>
        </w:rPr>
        <w:t xml:space="preserve">. </w:t>
      </w:r>
    </w:p>
    <w:p w:rsidR="00BC4C86" w:rsidRPr="007A4FC9" w:rsidRDefault="00BC4C86" w:rsidP="00BC4C86">
      <w:pPr>
        <w:tabs>
          <w:tab w:val="left" w:pos="2520"/>
        </w:tabs>
        <w:spacing w:before="120" w:after="120"/>
        <w:rPr>
          <w:rFonts w:cs="Arial"/>
          <w:b/>
          <w:szCs w:val="24"/>
        </w:rPr>
      </w:pPr>
      <w:r w:rsidRPr="007A4FC9">
        <w:rPr>
          <w:rFonts w:cs="Arial"/>
          <w:b/>
          <w:szCs w:val="24"/>
        </w:rPr>
        <w:t>Agencies</w:t>
      </w:r>
    </w:p>
    <w:p w:rsidR="00BC4C86" w:rsidRPr="007A4FC9" w:rsidRDefault="00435501" w:rsidP="00BC4C86">
      <w:pPr>
        <w:tabs>
          <w:tab w:val="left" w:pos="2520"/>
        </w:tabs>
        <w:spacing w:before="120" w:after="120"/>
        <w:rPr>
          <w:rFonts w:cs="Arial"/>
          <w:szCs w:val="24"/>
        </w:rPr>
      </w:pPr>
      <w:r w:rsidRPr="007A4FC9">
        <w:rPr>
          <w:rFonts w:cs="Arial"/>
          <w:szCs w:val="24"/>
        </w:rPr>
        <w:t xml:space="preserve">Council </w:t>
      </w:r>
      <w:r w:rsidR="0072191F">
        <w:rPr>
          <w:rFonts w:cs="Arial"/>
          <w:szCs w:val="24"/>
        </w:rPr>
        <w:t xml:space="preserve">proposes to </w:t>
      </w:r>
      <w:r w:rsidRPr="007A4FC9">
        <w:rPr>
          <w:rFonts w:cs="Arial"/>
          <w:szCs w:val="24"/>
        </w:rPr>
        <w:t xml:space="preserve">consult with Water NSW before the planning proposal goes to public exhibition which is appropriate. </w:t>
      </w:r>
    </w:p>
    <w:p w:rsidR="00BC4C86" w:rsidRPr="007A4FC9" w:rsidRDefault="00BC4C86" w:rsidP="00BC4C86">
      <w:pPr>
        <w:pBdr>
          <w:bottom w:val="single" w:sz="4" w:space="1" w:color="auto"/>
        </w:pBdr>
        <w:spacing w:before="120" w:after="120"/>
        <w:rPr>
          <w:b/>
        </w:rPr>
      </w:pPr>
      <w:r w:rsidRPr="007A4FC9">
        <w:rPr>
          <w:b/>
        </w:rPr>
        <w:t xml:space="preserve">TIME FRAME </w:t>
      </w:r>
    </w:p>
    <w:p w:rsidR="00BC4C86" w:rsidRPr="007A4FC9" w:rsidRDefault="00BC4C86" w:rsidP="00BC4C86">
      <w:pPr>
        <w:tabs>
          <w:tab w:val="left" w:pos="2520"/>
        </w:tabs>
        <w:rPr>
          <w:rFonts w:cs="Arial"/>
          <w:sz w:val="2"/>
          <w:szCs w:val="2"/>
        </w:rPr>
      </w:pPr>
    </w:p>
    <w:p w:rsidR="00BC4C86" w:rsidRPr="007A4FC9" w:rsidRDefault="00DF655E" w:rsidP="00BC4C86">
      <w:pPr>
        <w:pBdr>
          <w:bottom w:val="single" w:sz="4" w:space="1" w:color="auto"/>
        </w:pBdr>
        <w:tabs>
          <w:tab w:val="left" w:pos="2520"/>
        </w:tabs>
        <w:spacing w:after="120"/>
        <w:rPr>
          <w:rFonts w:cs="Arial"/>
        </w:rPr>
      </w:pPr>
      <w:r w:rsidRPr="007A4FC9">
        <w:rPr>
          <w:rFonts w:cs="Arial"/>
        </w:rPr>
        <w:t>Council</w:t>
      </w:r>
      <w:r w:rsidR="00435501" w:rsidRPr="007A4FC9">
        <w:rPr>
          <w:rFonts w:cs="Arial"/>
        </w:rPr>
        <w:t xml:space="preserve"> identifies a time frame to complete the planning proposal using its delegated authority to be </w:t>
      </w:r>
      <w:r w:rsidRPr="007A4FC9">
        <w:rPr>
          <w:rFonts w:cs="Arial"/>
        </w:rPr>
        <w:t xml:space="preserve">9 months. </w:t>
      </w:r>
    </w:p>
    <w:p w:rsidR="00E50415" w:rsidRDefault="00E50415" w:rsidP="00BC4C86">
      <w:pPr>
        <w:pBdr>
          <w:bottom w:val="single" w:sz="4" w:space="1" w:color="auto"/>
        </w:pBdr>
        <w:tabs>
          <w:tab w:val="left" w:pos="2520"/>
        </w:tabs>
        <w:spacing w:before="120" w:after="120"/>
        <w:rPr>
          <w:rFonts w:cs="Arial"/>
          <w:b/>
        </w:rPr>
      </w:pPr>
    </w:p>
    <w:p w:rsidR="00BC4C86" w:rsidRPr="007A4FC9" w:rsidRDefault="00BC4C86" w:rsidP="00BC4C86">
      <w:pPr>
        <w:pBdr>
          <w:bottom w:val="single" w:sz="4" w:space="1" w:color="auto"/>
        </w:pBdr>
        <w:tabs>
          <w:tab w:val="left" w:pos="2520"/>
        </w:tabs>
        <w:spacing w:before="120" w:after="120"/>
        <w:rPr>
          <w:rFonts w:cs="Arial"/>
          <w:b/>
        </w:rPr>
      </w:pPr>
      <w:r w:rsidRPr="007A4FC9">
        <w:rPr>
          <w:rFonts w:cs="Arial"/>
          <w:b/>
        </w:rPr>
        <w:t>LOCAL PLAN-MAKING AUTHORITY</w:t>
      </w:r>
    </w:p>
    <w:p w:rsidR="00E50415" w:rsidRPr="00E50415" w:rsidRDefault="00DF655E" w:rsidP="00E50415">
      <w:pPr>
        <w:tabs>
          <w:tab w:val="left" w:pos="2520"/>
        </w:tabs>
        <w:spacing w:before="120" w:after="120"/>
        <w:rPr>
          <w:rFonts w:cs="Arial"/>
          <w:szCs w:val="24"/>
        </w:rPr>
      </w:pPr>
      <w:r w:rsidRPr="007A4FC9">
        <w:rPr>
          <w:rFonts w:cs="Arial"/>
          <w:szCs w:val="24"/>
        </w:rPr>
        <w:t xml:space="preserve">Council has sought the use of plan making delegations for finalising the planning proposal. </w:t>
      </w:r>
    </w:p>
    <w:p w:rsidR="00E50415" w:rsidRDefault="00E50415" w:rsidP="00BC4C86">
      <w:pPr>
        <w:pBdr>
          <w:bottom w:val="single" w:sz="4" w:space="1" w:color="auto"/>
        </w:pBdr>
        <w:spacing w:before="120" w:after="120"/>
        <w:rPr>
          <w:b/>
        </w:rPr>
      </w:pPr>
    </w:p>
    <w:p w:rsidR="00BC4C86" w:rsidRPr="007A4FC9" w:rsidRDefault="00BC4C86" w:rsidP="00BC4C86">
      <w:pPr>
        <w:pBdr>
          <w:bottom w:val="single" w:sz="4" w:space="1" w:color="auto"/>
        </w:pBdr>
        <w:spacing w:before="120" w:after="120"/>
        <w:rPr>
          <w:b/>
        </w:rPr>
      </w:pPr>
      <w:r w:rsidRPr="007A4FC9">
        <w:rPr>
          <w:b/>
        </w:rPr>
        <w:t>CONCLUSION</w:t>
      </w:r>
    </w:p>
    <w:p w:rsidR="00DF655E" w:rsidRPr="007A4FC9" w:rsidRDefault="00DF655E" w:rsidP="00BC4C86">
      <w:pPr>
        <w:tabs>
          <w:tab w:val="left" w:pos="2520"/>
        </w:tabs>
        <w:spacing w:before="120" w:after="120"/>
        <w:rPr>
          <w:rFonts w:cs="Arial"/>
        </w:rPr>
      </w:pPr>
      <w:r w:rsidRPr="007A4FC9">
        <w:rPr>
          <w:rFonts w:cs="Arial"/>
        </w:rPr>
        <w:t>The planning propo</w:t>
      </w:r>
      <w:r w:rsidR="007A4FC9">
        <w:rPr>
          <w:rFonts w:cs="Arial"/>
        </w:rPr>
        <w:t>sal is not supported to proceed for the following reasons:</w:t>
      </w:r>
      <w:r w:rsidRPr="007A4FC9">
        <w:rPr>
          <w:rFonts w:cs="Arial"/>
        </w:rPr>
        <w:t xml:space="preserve"> </w:t>
      </w:r>
    </w:p>
    <w:p w:rsidR="00134479" w:rsidRDefault="00134479" w:rsidP="00BC4C86">
      <w:pPr>
        <w:pStyle w:val="ListParagraph"/>
        <w:numPr>
          <w:ilvl w:val="0"/>
          <w:numId w:val="7"/>
        </w:numPr>
        <w:tabs>
          <w:tab w:val="left" w:pos="2520"/>
        </w:tabs>
        <w:spacing w:before="120" w:after="120"/>
        <w:rPr>
          <w:rFonts w:cs="Arial"/>
        </w:rPr>
      </w:pPr>
      <w:r>
        <w:rPr>
          <w:rFonts w:cs="Arial"/>
        </w:rPr>
        <w:t xml:space="preserve">Council has not </w:t>
      </w:r>
      <w:r w:rsidR="00F03F32">
        <w:rPr>
          <w:rFonts w:cs="Arial"/>
        </w:rPr>
        <w:t xml:space="preserve">adequately </w:t>
      </w:r>
      <w:r>
        <w:rPr>
          <w:rFonts w:cs="Arial"/>
        </w:rPr>
        <w:t xml:space="preserve">justified why </w:t>
      </w:r>
      <w:r w:rsidR="00F03F32">
        <w:rPr>
          <w:rFonts w:cs="Arial"/>
        </w:rPr>
        <w:t xml:space="preserve">the OLSH site is not a </w:t>
      </w:r>
      <w:r>
        <w:rPr>
          <w:rFonts w:cs="Arial"/>
        </w:rPr>
        <w:t xml:space="preserve">suitable use for </w:t>
      </w:r>
      <w:r w:rsidR="00F03F32">
        <w:rPr>
          <w:rFonts w:cs="Arial"/>
        </w:rPr>
        <w:t>Seniors housing.</w:t>
      </w:r>
    </w:p>
    <w:p w:rsidR="00EC4C4F" w:rsidRPr="00EC4C4F" w:rsidRDefault="00134479" w:rsidP="00134479">
      <w:pPr>
        <w:pStyle w:val="ListParagraph"/>
        <w:numPr>
          <w:ilvl w:val="0"/>
          <w:numId w:val="7"/>
        </w:numPr>
      </w:pPr>
      <w:r w:rsidRPr="00134479">
        <w:rPr>
          <w:rFonts w:cs="Arial"/>
          <w:szCs w:val="24"/>
        </w:rPr>
        <w:t>The planning proposal is not consistent with the South East and Regional Plan.</w:t>
      </w:r>
      <w:r>
        <w:rPr>
          <w:rFonts w:cs="Arial"/>
          <w:szCs w:val="24"/>
        </w:rPr>
        <w:t xml:space="preserve"> T</w:t>
      </w:r>
      <w:r w:rsidRPr="00134479">
        <w:rPr>
          <w:rFonts w:cs="Arial"/>
          <w:szCs w:val="24"/>
        </w:rPr>
        <w:t xml:space="preserve">he </w:t>
      </w:r>
      <w:r w:rsidR="00F03F32">
        <w:rPr>
          <w:rFonts w:cs="Arial"/>
          <w:szCs w:val="24"/>
        </w:rPr>
        <w:t>removal of</w:t>
      </w:r>
      <w:r w:rsidRPr="00134479">
        <w:rPr>
          <w:rFonts w:cs="Arial"/>
          <w:szCs w:val="24"/>
        </w:rPr>
        <w:t xml:space="preserve"> seniors housing </w:t>
      </w:r>
      <w:r w:rsidR="00F03F32">
        <w:rPr>
          <w:rFonts w:cs="Arial"/>
          <w:szCs w:val="24"/>
        </w:rPr>
        <w:t xml:space="preserve">as a permissible use </w:t>
      </w:r>
      <w:r w:rsidRPr="00134479">
        <w:rPr>
          <w:rFonts w:cs="Arial"/>
          <w:szCs w:val="24"/>
        </w:rPr>
        <w:t>on the site is inconsistent with the intent of the strategy as it reduces both housing supply and housing choice.</w:t>
      </w:r>
    </w:p>
    <w:p w:rsidR="00134479" w:rsidRPr="00EC4C4F" w:rsidRDefault="00EC4C4F" w:rsidP="00EC4C4F">
      <w:pPr>
        <w:pStyle w:val="ListParagraph"/>
        <w:numPr>
          <w:ilvl w:val="0"/>
          <w:numId w:val="7"/>
        </w:numPr>
        <w:tabs>
          <w:tab w:val="left" w:pos="2520"/>
        </w:tabs>
        <w:spacing w:before="120" w:after="120"/>
        <w:rPr>
          <w:rFonts w:cs="Arial"/>
        </w:rPr>
      </w:pPr>
      <w:r w:rsidRPr="00BE364F">
        <w:rPr>
          <w:rFonts w:cs="Arial"/>
        </w:rPr>
        <w:t xml:space="preserve">More than 27% of residents in the Wingecarribee Local Government Area are projected in the South East and Tablelands Regional Plan to be over 65 by 2036. The planning proposal if it proceeds will result in a net reduction in the potential for seniors housing on a site that is suitable for that purpose. </w:t>
      </w:r>
      <w:r w:rsidR="00134479" w:rsidRPr="00EC4C4F">
        <w:rPr>
          <w:rFonts w:cs="Arial"/>
          <w:szCs w:val="24"/>
        </w:rPr>
        <w:t xml:space="preserve"> </w:t>
      </w:r>
    </w:p>
    <w:p w:rsidR="00134479" w:rsidRPr="00134479" w:rsidRDefault="00E50415" w:rsidP="00134479">
      <w:pPr>
        <w:pStyle w:val="ListParagraph"/>
        <w:numPr>
          <w:ilvl w:val="0"/>
          <w:numId w:val="7"/>
        </w:numPr>
      </w:pPr>
      <w:r>
        <w:rPr>
          <w:rFonts w:cs="Arial"/>
          <w:szCs w:val="24"/>
        </w:rPr>
        <w:t>There is an active DA for S</w:t>
      </w:r>
      <w:r w:rsidR="00134479" w:rsidRPr="00134479">
        <w:rPr>
          <w:rFonts w:cs="Arial"/>
          <w:szCs w:val="24"/>
        </w:rPr>
        <w:t xml:space="preserve">eniors housing on the site </w:t>
      </w:r>
      <w:r w:rsidR="00F03F32">
        <w:rPr>
          <w:rFonts w:cs="Arial"/>
          <w:szCs w:val="24"/>
        </w:rPr>
        <w:t>with an estimated cost of</w:t>
      </w:r>
      <w:r w:rsidR="00F03F32" w:rsidRPr="00134479">
        <w:rPr>
          <w:rFonts w:cs="Arial"/>
          <w:szCs w:val="24"/>
        </w:rPr>
        <w:t xml:space="preserve"> </w:t>
      </w:r>
      <w:r w:rsidR="00134479" w:rsidRPr="00134479">
        <w:rPr>
          <w:rFonts w:cs="Arial"/>
          <w:szCs w:val="24"/>
        </w:rPr>
        <w:t xml:space="preserve">$37,642,000.00. Should </w:t>
      </w:r>
      <w:r w:rsidR="00F03F32">
        <w:rPr>
          <w:rFonts w:cs="Arial"/>
          <w:szCs w:val="24"/>
        </w:rPr>
        <w:t xml:space="preserve">Seniors living not be permitted on the site there is a significant opportunity cost for local economic development and associated </w:t>
      </w:r>
      <w:r w:rsidR="00134479" w:rsidRPr="00134479">
        <w:rPr>
          <w:rFonts w:cs="Arial"/>
          <w:szCs w:val="24"/>
        </w:rPr>
        <w:t>benefits from new residents living in the area,</w:t>
      </w:r>
      <w:r w:rsidR="00134479">
        <w:rPr>
          <w:rFonts w:cs="Arial"/>
          <w:szCs w:val="24"/>
        </w:rPr>
        <w:t xml:space="preserve"> </w:t>
      </w:r>
      <w:r w:rsidR="00134479" w:rsidRPr="00134479">
        <w:rPr>
          <w:rFonts w:cs="Arial"/>
          <w:szCs w:val="24"/>
        </w:rPr>
        <w:t xml:space="preserve">the loss of 30 direct jobs associated with the operation of seniors housing development on the site and from construction related employment. </w:t>
      </w:r>
    </w:p>
    <w:p w:rsidR="00134479" w:rsidRPr="00134479" w:rsidRDefault="007A4FC9" w:rsidP="00134479">
      <w:pPr>
        <w:pStyle w:val="ListParagraph"/>
        <w:numPr>
          <w:ilvl w:val="0"/>
          <w:numId w:val="7"/>
        </w:numPr>
      </w:pPr>
      <w:r w:rsidRPr="00134479">
        <w:rPr>
          <w:rFonts w:cs="Arial"/>
        </w:rPr>
        <w:t xml:space="preserve">The planning proposal was not the subject of a study, or a strategic consideration of the best locations for </w:t>
      </w:r>
      <w:r w:rsidR="008D15CB" w:rsidRPr="00134479">
        <w:rPr>
          <w:rFonts w:cs="Arial"/>
        </w:rPr>
        <w:t>seniors housing</w:t>
      </w:r>
      <w:r w:rsidR="009E651F" w:rsidRPr="00134479">
        <w:rPr>
          <w:rFonts w:cs="Arial"/>
        </w:rPr>
        <w:t xml:space="preserve">; </w:t>
      </w:r>
      <w:r w:rsidRPr="00134479">
        <w:rPr>
          <w:rFonts w:cs="Arial"/>
        </w:rPr>
        <w:t xml:space="preserve">and </w:t>
      </w:r>
    </w:p>
    <w:p w:rsidR="008F29DF" w:rsidRPr="00134479" w:rsidRDefault="007A4FC9" w:rsidP="00134479">
      <w:pPr>
        <w:pStyle w:val="ListParagraph"/>
        <w:numPr>
          <w:ilvl w:val="0"/>
          <w:numId w:val="7"/>
        </w:numPr>
      </w:pPr>
      <w:r w:rsidRPr="00134479">
        <w:rPr>
          <w:rFonts w:cs="Arial"/>
        </w:rPr>
        <w:t xml:space="preserve">No strategic justification has been provided that addresses inconsistencies </w:t>
      </w:r>
      <w:r w:rsidR="00134479" w:rsidRPr="00134479">
        <w:rPr>
          <w:rFonts w:cs="Arial"/>
          <w:szCs w:val="24"/>
        </w:rPr>
        <w:t>with s9.1 Directions 3.1 Residential Zone</w:t>
      </w:r>
      <w:r w:rsidR="00134479" w:rsidRPr="00134479">
        <w:rPr>
          <w:rFonts w:cs="Arial"/>
          <w:i/>
          <w:szCs w:val="24"/>
        </w:rPr>
        <w:t xml:space="preserve">s </w:t>
      </w:r>
      <w:r w:rsidR="00134479" w:rsidRPr="00134479">
        <w:rPr>
          <w:rFonts w:cs="Arial"/>
          <w:szCs w:val="24"/>
        </w:rPr>
        <w:t>and 5.10 Implementation of Regional Plans</w:t>
      </w:r>
      <w:r w:rsidR="00134479" w:rsidRPr="00134479">
        <w:rPr>
          <w:rFonts w:cs="Arial"/>
        </w:rPr>
        <w:t xml:space="preserve"> </w:t>
      </w:r>
      <w:r w:rsidR="009E651F" w:rsidRPr="00134479">
        <w:rPr>
          <w:rFonts w:cs="Arial"/>
        </w:rPr>
        <w:t xml:space="preserve">or addresses any of the </w:t>
      </w:r>
      <w:r w:rsidR="00E96EA2" w:rsidRPr="00134479">
        <w:rPr>
          <w:rFonts w:cs="Arial"/>
        </w:rPr>
        <w:t xml:space="preserve">matters </w:t>
      </w:r>
      <w:r w:rsidR="009E651F" w:rsidRPr="00134479">
        <w:rPr>
          <w:rFonts w:cs="Arial"/>
        </w:rPr>
        <w:t>noted above</w:t>
      </w:r>
      <w:r w:rsidRPr="00134479">
        <w:rPr>
          <w:rFonts w:cs="Arial"/>
        </w:rPr>
        <w:t>.</w:t>
      </w:r>
    </w:p>
    <w:p w:rsidR="00E50415" w:rsidRDefault="00E50415" w:rsidP="008C256E">
      <w:pPr>
        <w:pBdr>
          <w:bottom w:val="single" w:sz="4" w:space="1" w:color="auto"/>
        </w:pBdr>
        <w:spacing w:before="120" w:after="120"/>
        <w:rPr>
          <w:b/>
        </w:rPr>
      </w:pPr>
    </w:p>
    <w:p w:rsidR="00996FF8" w:rsidRPr="00996FF8" w:rsidRDefault="00996FF8" w:rsidP="008C256E">
      <w:pPr>
        <w:pBdr>
          <w:bottom w:val="single" w:sz="4" w:space="1" w:color="auto"/>
        </w:pBdr>
        <w:spacing w:before="120" w:after="120"/>
        <w:rPr>
          <w:sz w:val="20"/>
          <w:highlight w:val="yellow"/>
        </w:rPr>
      </w:pPr>
      <w:r>
        <w:rPr>
          <w:b/>
        </w:rPr>
        <w:t xml:space="preserve">RECOMMENDATION </w:t>
      </w:r>
    </w:p>
    <w:p w:rsidR="00BC4C86" w:rsidRPr="008C256E" w:rsidRDefault="00BC4C86" w:rsidP="00BC4C86">
      <w:pPr>
        <w:tabs>
          <w:tab w:val="left" w:pos="2520"/>
        </w:tabs>
        <w:spacing w:before="120" w:after="120"/>
        <w:rPr>
          <w:szCs w:val="24"/>
        </w:rPr>
      </w:pPr>
      <w:r w:rsidRPr="008C256E">
        <w:rPr>
          <w:szCs w:val="24"/>
        </w:rPr>
        <w:t xml:space="preserve">It is recommended that the delegate of the Secretary: </w:t>
      </w:r>
    </w:p>
    <w:p w:rsidR="00F03F32" w:rsidRPr="008C256E" w:rsidRDefault="00BC4C86" w:rsidP="00F03F32">
      <w:pPr>
        <w:pStyle w:val="ListParagraph"/>
        <w:numPr>
          <w:ilvl w:val="0"/>
          <w:numId w:val="13"/>
        </w:numPr>
        <w:spacing w:before="120" w:after="120"/>
        <w:rPr>
          <w:szCs w:val="24"/>
          <w:lang w:eastAsia="en-US"/>
        </w:rPr>
      </w:pPr>
      <w:r w:rsidRPr="00E50415">
        <w:rPr>
          <w:szCs w:val="24"/>
          <w:lang w:eastAsia="en-US"/>
        </w:rPr>
        <w:lastRenderedPageBreak/>
        <w:t>note</w:t>
      </w:r>
      <w:r w:rsidRPr="008C256E">
        <w:rPr>
          <w:szCs w:val="24"/>
          <w:lang w:eastAsia="en-US"/>
        </w:rPr>
        <w:t xml:space="preserve"> that the </w:t>
      </w:r>
      <w:r w:rsidR="00B23605" w:rsidRPr="008C256E">
        <w:rPr>
          <w:szCs w:val="24"/>
          <w:lang w:eastAsia="en-US"/>
        </w:rPr>
        <w:t>in</w:t>
      </w:r>
      <w:r w:rsidRPr="008C256E">
        <w:rPr>
          <w:szCs w:val="24"/>
          <w:lang w:eastAsia="en-US"/>
        </w:rPr>
        <w:t xml:space="preserve">consistency with section 9.1 Directions </w:t>
      </w:r>
      <w:r w:rsidR="00AC27D6" w:rsidRPr="008C256E">
        <w:rPr>
          <w:szCs w:val="24"/>
          <w:lang w:eastAsia="en-US"/>
        </w:rPr>
        <w:t xml:space="preserve">3.1 Residential Zones and 5.10 Implementation of Regional Plans are </w:t>
      </w:r>
      <w:r w:rsidR="00F03F32" w:rsidRPr="008C256E">
        <w:rPr>
          <w:szCs w:val="24"/>
          <w:lang w:eastAsia="en-US"/>
        </w:rPr>
        <w:t>unresolved.</w:t>
      </w:r>
    </w:p>
    <w:p w:rsidR="00F03F32" w:rsidRPr="008C256E" w:rsidRDefault="00F03F32" w:rsidP="008C256E">
      <w:pPr>
        <w:pStyle w:val="ListParagraph"/>
        <w:spacing w:before="120" w:after="120"/>
        <w:rPr>
          <w:szCs w:val="24"/>
          <w:lang w:eastAsia="en-US"/>
        </w:rPr>
      </w:pPr>
    </w:p>
    <w:p w:rsidR="00BC4C86" w:rsidRPr="00E50415" w:rsidRDefault="00F03F32" w:rsidP="00E50415">
      <w:pPr>
        <w:pStyle w:val="ListParagraph"/>
        <w:spacing w:before="120" w:after="120"/>
        <w:rPr>
          <w:szCs w:val="24"/>
          <w:lang w:eastAsia="en-US"/>
        </w:rPr>
      </w:pPr>
      <w:r w:rsidRPr="008C256E">
        <w:rPr>
          <w:szCs w:val="24"/>
        </w:rPr>
        <w:t xml:space="preserve">It is recommended that the delegate of the Minister for Planning determine that the planning proposal should </w:t>
      </w:r>
      <w:r w:rsidR="00E96EA2" w:rsidRPr="008C256E">
        <w:rPr>
          <w:szCs w:val="24"/>
        </w:rPr>
        <w:t xml:space="preserve">not </w:t>
      </w:r>
      <w:r w:rsidR="00BC4C86" w:rsidRPr="008C256E">
        <w:rPr>
          <w:szCs w:val="24"/>
        </w:rPr>
        <w:t xml:space="preserve">proceed </w:t>
      </w:r>
      <w:r w:rsidR="00E96EA2" w:rsidRPr="008C256E">
        <w:rPr>
          <w:szCs w:val="24"/>
        </w:rPr>
        <w:t xml:space="preserve">to </w:t>
      </w:r>
      <w:r w:rsidR="00B16905" w:rsidRPr="008C256E">
        <w:rPr>
          <w:szCs w:val="24"/>
        </w:rPr>
        <w:t>exhibition</w:t>
      </w:r>
      <w:r w:rsidR="00E96EA2" w:rsidRPr="008C256E">
        <w:rPr>
          <w:szCs w:val="24"/>
        </w:rPr>
        <w:t>.</w:t>
      </w:r>
      <w:r w:rsidR="00E96EA2" w:rsidRPr="00F03F32">
        <w:rPr>
          <w:szCs w:val="24"/>
        </w:rPr>
        <w:t xml:space="preserve"> </w:t>
      </w:r>
    </w:p>
    <w:p w:rsidR="00155250" w:rsidRDefault="00155250"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E50415" w:rsidRDefault="00E50415" w:rsidP="00BC4C86">
      <w:pPr>
        <w:tabs>
          <w:tab w:val="left" w:pos="5529"/>
        </w:tabs>
        <w:rPr>
          <w:b/>
          <w:szCs w:val="24"/>
        </w:rPr>
      </w:pPr>
    </w:p>
    <w:p w:rsidR="00BC4C86" w:rsidRPr="00E96EA2" w:rsidRDefault="00E96EA2" w:rsidP="00BC4C86">
      <w:pPr>
        <w:tabs>
          <w:tab w:val="left" w:pos="5529"/>
        </w:tabs>
        <w:rPr>
          <w:b/>
          <w:szCs w:val="24"/>
        </w:rPr>
      </w:pPr>
      <w:r w:rsidRPr="00E96EA2">
        <w:rPr>
          <w:b/>
          <w:szCs w:val="24"/>
        </w:rPr>
        <w:t>Graham Towers</w:t>
      </w:r>
      <w:r w:rsidR="00BC4C86" w:rsidRPr="00E96EA2">
        <w:rPr>
          <w:b/>
          <w:szCs w:val="24"/>
        </w:rPr>
        <w:tab/>
      </w:r>
      <w:r w:rsidR="00134479">
        <w:rPr>
          <w:b/>
          <w:szCs w:val="24"/>
        </w:rPr>
        <w:t>Sarah Lees</w:t>
      </w:r>
    </w:p>
    <w:p w:rsidR="00BC4C86" w:rsidRPr="00E96EA2" w:rsidRDefault="00BC4C86" w:rsidP="00BC4C86">
      <w:pPr>
        <w:tabs>
          <w:tab w:val="left" w:pos="5529"/>
          <w:tab w:val="left" w:pos="5940"/>
        </w:tabs>
        <w:rPr>
          <w:b/>
          <w:szCs w:val="24"/>
        </w:rPr>
      </w:pPr>
      <w:r w:rsidRPr="00E96EA2">
        <w:rPr>
          <w:b/>
          <w:szCs w:val="24"/>
        </w:rPr>
        <w:t xml:space="preserve">Team Leader, </w:t>
      </w:r>
      <w:r w:rsidR="00E96EA2" w:rsidRPr="00E96EA2">
        <w:rPr>
          <w:b/>
          <w:szCs w:val="24"/>
        </w:rPr>
        <w:t xml:space="preserve">Southern </w:t>
      </w:r>
      <w:r w:rsidRPr="00E96EA2">
        <w:rPr>
          <w:b/>
          <w:szCs w:val="24"/>
        </w:rPr>
        <w:t>Region</w:t>
      </w:r>
      <w:r w:rsidRPr="00E96EA2">
        <w:rPr>
          <w:b/>
          <w:szCs w:val="24"/>
        </w:rPr>
        <w:tab/>
        <w:t xml:space="preserve">Director Regions, </w:t>
      </w:r>
      <w:r w:rsidR="00134479">
        <w:rPr>
          <w:b/>
          <w:szCs w:val="24"/>
        </w:rPr>
        <w:t>Southern</w:t>
      </w:r>
      <w:r w:rsidR="00D843C1">
        <w:rPr>
          <w:b/>
          <w:szCs w:val="24"/>
        </w:rPr>
        <w:tab/>
      </w:r>
      <w:r w:rsidRPr="00E96EA2">
        <w:rPr>
          <w:b/>
          <w:szCs w:val="24"/>
        </w:rPr>
        <w:t>Planning Services</w:t>
      </w:r>
    </w:p>
    <w:p w:rsidR="00BC4C86" w:rsidRPr="00E96EA2" w:rsidRDefault="00BC4C86" w:rsidP="00BC4C86">
      <w:pPr>
        <w:jc w:val="right"/>
        <w:rPr>
          <w:rFonts w:cs="Arial"/>
          <w:sz w:val="20"/>
        </w:rPr>
      </w:pPr>
    </w:p>
    <w:p w:rsidR="00E50415" w:rsidRDefault="00E50415" w:rsidP="00BC4C86">
      <w:pPr>
        <w:jc w:val="right"/>
        <w:rPr>
          <w:rFonts w:cs="Arial"/>
          <w:sz w:val="20"/>
        </w:rPr>
      </w:pPr>
    </w:p>
    <w:p w:rsidR="00E50415" w:rsidRDefault="00E50415" w:rsidP="00BC4C86">
      <w:pPr>
        <w:jc w:val="right"/>
        <w:rPr>
          <w:rFonts w:cs="Arial"/>
          <w:sz w:val="20"/>
        </w:rPr>
      </w:pPr>
    </w:p>
    <w:p w:rsidR="00BC4C86" w:rsidRPr="00E96EA2" w:rsidRDefault="00BC4C86" w:rsidP="00BC4C86">
      <w:pPr>
        <w:jc w:val="right"/>
        <w:rPr>
          <w:rFonts w:cs="Arial"/>
          <w:sz w:val="20"/>
        </w:rPr>
      </w:pPr>
      <w:r w:rsidRPr="00E96EA2">
        <w:rPr>
          <w:rFonts w:cs="Arial"/>
          <w:sz w:val="20"/>
        </w:rPr>
        <w:t xml:space="preserve">Contact Officer: </w:t>
      </w:r>
      <w:r w:rsidR="00E96EA2" w:rsidRPr="00E96EA2">
        <w:rPr>
          <w:rFonts w:cs="Arial"/>
          <w:sz w:val="20"/>
        </w:rPr>
        <w:t>Ann Martin</w:t>
      </w:r>
    </w:p>
    <w:p w:rsidR="00BC4C86" w:rsidRDefault="00E96EA2" w:rsidP="00BC4C86">
      <w:pPr>
        <w:jc w:val="right"/>
        <w:rPr>
          <w:rFonts w:cs="Arial"/>
          <w:sz w:val="20"/>
        </w:rPr>
      </w:pPr>
      <w:r w:rsidRPr="00E96EA2">
        <w:rPr>
          <w:rFonts w:cs="Arial"/>
          <w:sz w:val="20"/>
        </w:rPr>
        <w:t>Local Planner</w:t>
      </w:r>
      <w:r w:rsidR="00BC4C86" w:rsidRPr="00E96EA2">
        <w:rPr>
          <w:rFonts w:cs="Arial"/>
          <w:sz w:val="20"/>
        </w:rPr>
        <w:t xml:space="preserve">, </w:t>
      </w:r>
      <w:r w:rsidRPr="00E96EA2">
        <w:rPr>
          <w:rFonts w:cs="Arial"/>
          <w:sz w:val="20"/>
        </w:rPr>
        <w:t xml:space="preserve">Southern </w:t>
      </w:r>
      <w:r w:rsidR="00BC4C86" w:rsidRPr="00E96EA2">
        <w:rPr>
          <w:rFonts w:cs="Arial"/>
          <w:sz w:val="20"/>
        </w:rPr>
        <w:t>Region</w:t>
      </w:r>
    </w:p>
    <w:p w:rsidR="008C256E" w:rsidRPr="00134479" w:rsidRDefault="008C256E" w:rsidP="008C256E">
      <w:pPr>
        <w:jc w:val="right"/>
        <w:rPr>
          <w:sz w:val="20"/>
        </w:rPr>
      </w:pPr>
      <w:r w:rsidRPr="00E96EA2">
        <w:rPr>
          <w:sz w:val="20"/>
        </w:rPr>
        <w:t>Phone: 42 249466</w:t>
      </w:r>
    </w:p>
    <w:sectPr w:rsidR="008C256E" w:rsidRPr="00134479" w:rsidSect="00E204E4">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4F" w:rsidRDefault="005C604F">
      <w:r>
        <w:separator/>
      </w:r>
    </w:p>
  </w:endnote>
  <w:endnote w:type="continuationSeparator" w:id="0">
    <w:p w:rsidR="005C604F" w:rsidRDefault="005C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301" w:rsidRPr="00F913C6" w:rsidRDefault="001B4D12" w:rsidP="00C516E7">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sidR="005F7978">
      <w:rPr>
        <w:rStyle w:val="PageNumber"/>
        <w:b/>
        <w:noProof/>
        <w:color w:val="002060"/>
      </w:rPr>
      <w:t>2</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sidR="005F7978">
      <w:rPr>
        <w:rStyle w:val="PageNumber"/>
        <w:b/>
        <w:noProof/>
        <w:color w:val="002060"/>
      </w:rPr>
      <w:t>8</w:t>
    </w:r>
    <w:r w:rsidRPr="00F913C6">
      <w:rPr>
        <w:rStyle w:val="PageNumber"/>
        <w:b/>
        <w:color w:val="002060"/>
      </w:rPr>
      <w:fldChar w:fldCharType="end"/>
    </w:r>
  </w:p>
  <w:p w:rsidR="00701301" w:rsidRPr="00F913C6" w:rsidRDefault="005C604F" w:rsidP="00C516E7">
    <w:pPr>
      <w:pStyle w:val="Footer"/>
      <w:ind w:right="360"/>
      <w:rPr>
        <w:b/>
        <w:color w:val="00206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C06" w:rsidRPr="00F913C6" w:rsidRDefault="001B4D12" w:rsidP="00A15C06">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sidR="005F7978">
      <w:rPr>
        <w:rStyle w:val="PageNumber"/>
        <w:b/>
        <w:noProof/>
        <w:color w:val="002060"/>
      </w:rPr>
      <w:t>1</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sidR="005F7978">
      <w:rPr>
        <w:rStyle w:val="PageNumber"/>
        <w:b/>
        <w:noProof/>
        <w:color w:val="002060"/>
      </w:rPr>
      <w:t>8</w:t>
    </w:r>
    <w:r w:rsidRPr="00F913C6">
      <w:rPr>
        <w:rStyle w:val="PageNumber"/>
        <w:b/>
        <w:color w:val="002060"/>
      </w:rPr>
      <w:fldChar w:fldCharType="end"/>
    </w:r>
  </w:p>
  <w:p w:rsidR="00A15C06" w:rsidRDefault="005C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4F" w:rsidRDefault="005C604F">
      <w:r>
        <w:separator/>
      </w:r>
    </w:p>
  </w:footnote>
  <w:footnote w:type="continuationSeparator" w:id="0">
    <w:p w:rsidR="005C604F" w:rsidRDefault="005C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C06" w:rsidRPr="00426308" w:rsidRDefault="001B4D12" w:rsidP="00A15C06">
    <w:pPr>
      <w:pStyle w:val="Header"/>
      <w:rPr>
        <w:noProof/>
      </w:rPr>
    </w:pPr>
    <w:r w:rsidRPr="00CE147A">
      <w:rPr>
        <w:noProof/>
      </w:rPr>
      <w:drawing>
        <wp:inline distT="0" distB="0" distL="0" distR="0" wp14:anchorId="26A1C729" wp14:editId="276249F6">
          <wp:extent cx="2305050" cy="752475"/>
          <wp:effectExtent l="0" t="0" r="0" b="0"/>
          <wp:docPr id="1" name="Picture 47" descr="P&amp;E logo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mp;E logo_1_2"/>
                  <pic:cNvPicPr>
                    <a:picLocks noChangeAspect="1" noChangeArrowheads="1"/>
                  </pic:cNvPicPr>
                </pic:nvPicPr>
                <pic:blipFill>
                  <a:blip r:embed="rId1">
                    <a:extLst>
                      <a:ext uri="{28A0092B-C50C-407E-A947-70E740481C1C}">
                        <a14:useLocalDpi xmlns:a14="http://schemas.microsoft.com/office/drawing/2010/main" val="0"/>
                      </a:ext>
                    </a:extLst>
                  </a:blip>
                  <a:srcRect r="5661"/>
                  <a:stretch>
                    <a:fillRect/>
                  </a:stretch>
                </pic:blipFill>
                <pic:spPr bwMode="auto">
                  <a:xfrm>
                    <a:off x="0" y="0"/>
                    <a:ext cx="2305050" cy="752475"/>
                  </a:xfrm>
                  <a:prstGeom prst="rect">
                    <a:avLst/>
                  </a:prstGeom>
                  <a:noFill/>
                  <a:ln>
                    <a:noFill/>
                  </a:ln>
                </pic:spPr>
              </pic:pic>
            </a:graphicData>
          </a:graphic>
        </wp:inline>
      </w:drawing>
    </w:r>
  </w:p>
  <w:p w:rsidR="00A15C06" w:rsidRDefault="005C604F" w:rsidP="00A15C06">
    <w:pPr>
      <w:pStyle w:val="Header"/>
    </w:pPr>
  </w:p>
  <w:p w:rsidR="00A15C06" w:rsidRDefault="005C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900"/>
    <w:multiLevelType w:val="hybridMultilevel"/>
    <w:tmpl w:val="EB78F676"/>
    <w:lvl w:ilvl="0" w:tplc="8B6E91B4">
      <w:start w:val="1"/>
      <w:numFmt w:val="decimal"/>
      <w:lvlText w:val="%1."/>
      <w:lvlJc w:val="left"/>
      <w:pPr>
        <w:tabs>
          <w:tab w:val="num" w:pos="567"/>
        </w:tabs>
        <w:ind w:left="567" w:hanging="567"/>
      </w:pPr>
      <w:rPr>
        <w:rFonts w:hint="default"/>
      </w:rPr>
    </w:lvl>
    <w:lvl w:ilvl="1" w:tplc="F0FA2766">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2E5F52"/>
    <w:multiLevelType w:val="hybridMultilevel"/>
    <w:tmpl w:val="5134A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140CE0"/>
    <w:multiLevelType w:val="hybridMultilevel"/>
    <w:tmpl w:val="AAB2EC80"/>
    <w:lvl w:ilvl="0" w:tplc="6CFA305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9F513B"/>
    <w:multiLevelType w:val="hybridMultilevel"/>
    <w:tmpl w:val="2A8A5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D7834DE"/>
    <w:multiLevelType w:val="hybridMultilevel"/>
    <w:tmpl w:val="2F78613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4EFA0D70"/>
    <w:multiLevelType w:val="hybridMultilevel"/>
    <w:tmpl w:val="60D2B15A"/>
    <w:lvl w:ilvl="0" w:tplc="0C090003" w:tentative="1">
      <w:start w:val="1"/>
      <w:numFmt w:val="bullet"/>
      <w:lvlText w:val="o"/>
      <w:lvlJc w:val="left"/>
      <w:pPr>
        <w:ind w:left="39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5D9451C0"/>
    <w:multiLevelType w:val="hybridMultilevel"/>
    <w:tmpl w:val="5134A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094C4E"/>
    <w:multiLevelType w:val="hybridMultilevel"/>
    <w:tmpl w:val="2F78613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694B2738"/>
    <w:multiLevelType w:val="hybridMultilevel"/>
    <w:tmpl w:val="5F5A9550"/>
    <w:lvl w:ilvl="0" w:tplc="0C090003">
      <w:start w:val="1"/>
      <w:numFmt w:val="bullet"/>
      <w:lvlText w:val="o"/>
      <w:lvlJc w:val="left"/>
      <w:pPr>
        <w:ind w:left="3240" w:hanging="360"/>
      </w:pPr>
      <w:rPr>
        <w:rFonts w:ascii="Courier New" w:hAnsi="Courier New" w:cs="Courier New"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71437999"/>
    <w:multiLevelType w:val="hybridMultilevel"/>
    <w:tmpl w:val="74600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202B5"/>
    <w:multiLevelType w:val="hybridMultilevel"/>
    <w:tmpl w:val="01AEB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8"/>
  </w:num>
  <w:num w:numId="6">
    <w:abstractNumId w:val="4"/>
  </w:num>
  <w:num w:numId="7">
    <w:abstractNumId w:val="1"/>
  </w:num>
  <w:num w:numId="8">
    <w:abstractNumId w:val="1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86"/>
    <w:rsid w:val="00006DFF"/>
    <w:rsid w:val="0002148E"/>
    <w:rsid w:val="00033969"/>
    <w:rsid w:val="00052D23"/>
    <w:rsid w:val="00090DDA"/>
    <w:rsid w:val="000E59E4"/>
    <w:rsid w:val="000F318E"/>
    <w:rsid w:val="00116233"/>
    <w:rsid w:val="001330EC"/>
    <w:rsid w:val="00133208"/>
    <w:rsid w:val="00134479"/>
    <w:rsid w:val="00155250"/>
    <w:rsid w:val="00176744"/>
    <w:rsid w:val="001A3E7B"/>
    <w:rsid w:val="001B4D12"/>
    <w:rsid w:val="001C27B8"/>
    <w:rsid w:val="001C4FDB"/>
    <w:rsid w:val="001D05FC"/>
    <w:rsid w:val="002367C4"/>
    <w:rsid w:val="00247615"/>
    <w:rsid w:val="00281E97"/>
    <w:rsid w:val="002B24EA"/>
    <w:rsid w:val="002C264E"/>
    <w:rsid w:val="002C685D"/>
    <w:rsid w:val="002D4030"/>
    <w:rsid w:val="002F3937"/>
    <w:rsid w:val="002F58FA"/>
    <w:rsid w:val="003235E0"/>
    <w:rsid w:val="00347C6F"/>
    <w:rsid w:val="00384D57"/>
    <w:rsid w:val="00396823"/>
    <w:rsid w:val="00396B3E"/>
    <w:rsid w:val="003971BF"/>
    <w:rsid w:val="003B335C"/>
    <w:rsid w:val="003C2D42"/>
    <w:rsid w:val="003D6591"/>
    <w:rsid w:val="003E5144"/>
    <w:rsid w:val="003F4AF3"/>
    <w:rsid w:val="00435501"/>
    <w:rsid w:val="004505BF"/>
    <w:rsid w:val="004549AE"/>
    <w:rsid w:val="00464A99"/>
    <w:rsid w:val="00464AB0"/>
    <w:rsid w:val="004719EA"/>
    <w:rsid w:val="004C14F4"/>
    <w:rsid w:val="004C54FB"/>
    <w:rsid w:val="004D0EE7"/>
    <w:rsid w:val="00533D8B"/>
    <w:rsid w:val="00545947"/>
    <w:rsid w:val="00550AC9"/>
    <w:rsid w:val="00556FC1"/>
    <w:rsid w:val="005A5BBD"/>
    <w:rsid w:val="005B3BCC"/>
    <w:rsid w:val="005C604F"/>
    <w:rsid w:val="005E471B"/>
    <w:rsid w:val="005F38F2"/>
    <w:rsid w:val="005F7978"/>
    <w:rsid w:val="006009D6"/>
    <w:rsid w:val="00612EDF"/>
    <w:rsid w:val="00616524"/>
    <w:rsid w:val="00622BD9"/>
    <w:rsid w:val="00625423"/>
    <w:rsid w:val="00641B8D"/>
    <w:rsid w:val="006542E1"/>
    <w:rsid w:val="00687E26"/>
    <w:rsid w:val="006A2CC2"/>
    <w:rsid w:val="006A7E0A"/>
    <w:rsid w:val="006B6942"/>
    <w:rsid w:val="006F10C6"/>
    <w:rsid w:val="00702597"/>
    <w:rsid w:val="007215C7"/>
    <w:rsid w:val="0072191F"/>
    <w:rsid w:val="007438A7"/>
    <w:rsid w:val="00752E68"/>
    <w:rsid w:val="00785454"/>
    <w:rsid w:val="007A268C"/>
    <w:rsid w:val="007A4FC9"/>
    <w:rsid w:val="007C449C"/>
    <w:rsid w:val="007E1FB2"/>
    <w:rsid w:val="007E4E1B"/>
    <w:rsid w:val="007F1E8E"/>
    <w:rsid w:val="00857A54"/>
    <w:rsid w:val="0086643F"/>
    <w:rsid w:val="00876F19"/>
    <w:rsid w:val="008777C0"/>
    <w:rsid w:val="00880FD3"/>
    <w:rsid w:val="008907F3"/>
    <w:rsid w:val="00892188"/>
    <w:rsid w:val="008C256E"/>
    <w:rsid w:val="008C40B7"/>
    <w:rsid w:val="008D15CB"/>
    <w:rsid w:val="008D41C2"/>
    <w:rsid w:val="008E6596"/>
    <w:rsid w:val="008F29DF"/>
    <w:rsid w:val="008F5940"/>
    <w:rsid w:val="0091773A"/>
    <w:rsid w:val="0093003F"/>
    <w:rsid w:val="00931D5A"/>
    <w:rsid w:val="00943CFF"/>
    <w:rsid w:val="00966719"/>
    <w:rsid w:val="00972E3E"/>
    <w:rsid w:val="00980EE3"/>
    <w:rsid w:val="00996FF8"/>
    <w:rsid w:val="009B4AF9"/>
    <w:rsid w:val="009C479A"/>
    <w:rsid w:val="009C5FE7"/>
    <w:rsid w:val="009D2580"/>
    <w:rsid w:val="009D7431"/>
    <w:rsid w:val="009E1637"/>
    <w:rsid w:val="009E651F"/>
    <w:rsid w:val="009F2682"/>
    <w:rsid w:val="00A13DD9"/>
    <w:rsid w:val="00A14A6A"/>
    <w:rsid w:val="00A449A8"/>
    <w:rsid w:val="00A4744A"/>
    <w:rsid w:val="00A571A3"/>
    <w:rsid w:val="00A72E86"/>
    <w:rsid w:val="00A80EC4"/>
    <w:rsid w:val="00AC27D6"/>
    <w:rsid w:val="00AD593E"/>
    <w:rsid w:val="00AF31BD"/>
    <w:rsid w:val="00B16905"/>
    <w:rsid w:val="00B2111F"/>
    <w:rsid w:val="00B23605"/>
    <w:rsid w:val="00B23D8B"/>
    <w:rsid w:val="00B2619D"/>
    <w:rsid w:val="00B521A5"/>
    <w:rsid w:val="00B771B4"/>
    <w:rsid w:val="00B95E10"/>
    <w:rsid w:val="00BB3C5C"/>
    <w:rsid w:val="00BC34EA"/>
    <w:rsid w:val="00BC4C86"/>
    <w:rsid w:val="00BC5848"/>
    <w:rsid w:val="00BE364F"/>
    <w:rsid w:val="00C04A8D"/>
    <w:rsid w:val="00C16E0D"/>
    <w:rsid w:val="00C26675"/>
    <w:rsid w:val="00C277EB"/>
    <w:rsid w:val="00CF25F9"/>
    <w:rsid w:val="00CF3A24"/>
    <w:rsid w:val="00D02494"/>
    <w:rsid w:val="00D10A45"/>
    <w:rsid w:val="00D36F5D"/>
    <w:rsid w:val="00D371EA"/>
    <w:rsid w:val="00D54FDD"/>
    <w:rsid w:val="00D748C5"/>
    <w:rsid w:val="00D7491C"/>
    <w:rsid w:val="00D843C1"/>
    <w:rsid w:val="00D856EC"/>
    <w:rsid w:val="00DA1822"/>
    <w:rsid w:val="00DF26CD"/>
    <w:rsid w:val="00DF655E"/>
    <w:rsid w:val="00E00785"/>
    <w:rsid w:val="00E50415"/>
    <w:rsid w:val="00E96EA2"/>
    <w:rsid w:val="00EC4BD0"/>
    <w:rsid w:val="00EC4C4F"/>
    <w:rsid w:val="00F03F32"/>
    <w:rsid w:val="00F2284E"/>
    <w:rsid w:val="00F74420"/>
    <w:rsid w:val="00F7525D"/>
    <w:rsid w:val="00F83A6B"/>
    <w:rsid w:val="00FB1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C386-6434-4E90-98F2-D6D732FD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C86"/>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BC4C86"/>
    <w:pPr>
      <w:tabs>
        <w:tab w:val="left" w:pos="2520"/>
      </w:tabs>
      <w:spacing w:before="120" w:after="120"/>
      <w:outlineLvl w:val="0"/>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C86"/>
    <w:rPr>
      <w:rFonts w:ascii="Arial" w:eastAsia="Times New Roman" w:hAnsi="Arial" w:cs="Arial"/>
      <w:b/>
      <w:sz w:val="24"/>
      <w:szCs w:val="24"/>
      <w:lang w:eastAsia="en-AU"/>
    </w:rPr>
  </w:style>
  <w:style w:type="paragraph" w:styleId="Footer">
    <w:name w:val="footer"/>
    <w:basedOn w:val="Normal"/>
    <w:link w:val="FooterChar"/>
    <w:rsid w:val="00BC4C86"/>
    <w:pPr>
      <w:tabs>
        <w:tab w:val="right" w:pos="9026"/>
      </w:tabs>
    </w:pPr>
    <w:rPr>
      <w:sz w:val="18"/>
    </w:rPr>
  </w:style>
  <w:style w:type="character" w:customStyle="1" w:styleId="FooterChar">
    <w:name w:val="Footer Char"/>
    <w:basedOn w:val="DefaultParagraphFont"/>
    <w:link w:val="Footer"/>
    <w:rsid w:val="00BC4C86"/>
    <w:rPr>
      <w:rFonts w:ascii="Arial" w:eastAsia="Times New Roman" w:hAnsi="Arial" w:cs="Times New Roman"/>
      <w:sz w:val="18"/>
      <w:szCs w:val="20"/>
      <w:lang w:eastAsia="en-AU"/>
    </w:rPr>
  </w:style>
  <w:style w:type="character" w:styleId="PageNumber">
    <w:name w:val="page number"/>
    <w:basedOn w:val="DefaultParagraphFont"/>
    <w:rsid w:val="00BC4C86"/>
  </w:style>
  <w:style w:type="paragraph" w:styleId="Header">
    <w:name w:val="header"/>
    <w:basedOn w:val="Normal"/>
    <w:link w:val="HeaderChar"/>
    <w:uiPriority w:val="99"/>
    <w:rsid w:val="00BC4C86"/>
    <w:pPr>
      <w:tabs>
        <w:tab w:val="center" w:pos="4320"/>
        <w:tab w:val="right" w:pos="8640"/>
      </w:tabs>
    </w:pPr>
  </w:style>
  <w:style w:type="character" w:customStyle="1" w:styleId="HeaderChar">
    <w:name w:val="Header Char"/>
    <w:basedOn w:val="DefaultParagraphFont"/>
    <w:link w:val="Header"/>
    <w:uiPriority w:val="99"/>
    <w:rsid w:val="00BC4C86"/>
    <w:rPr>
      <w:rFonts w:ascii="Arial" w:eastAsia="Times New Roman" w:hAnsi="Arial" w:cs="Times New Roman"/>
      <w:sz w:val="24"/>
      <w:szCs w:val="20"/>
      <w:lang w:eastAsia="en-AU"/>
    </w:rPr>
  </w:style>
  <w:style w:type="paragraph" w:styleId="ListParagraph">
    <w:name w:val="List Paragraph"/>
    <w:basedOn w:val="Normal"/>
    <w:uiPriority w:val="34"/>
    <w:qFormat/>
    <w:rsid w:val="003D6591"/>
    <w:pPr>
      <w:ind w:left="720"/>
      <w:contextualSpacing/>
    </w:pPr>
  </w:style>
  <w:style w:type="paragraph" w:styleId="BalloonText">
    <w:name w:val="Balloon Text"/>
    <w:basedOn w:val="Normal"/>
    <w:link w:val="BalloonTextChar"/>
    <w:uiPriority w:val="99"/>
    <w:semiHidden/>
    <w:unhideWhenUsed/>
    <w:rsid w:val="008D1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5CB"/>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5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3439CA4D.dotm</Template>
  <TotalTime>0</TotalTime>
  <Pages>8</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Martin</dc:creator>
  <cp:keywords/>
  <dc:description/>
  <cp:lastModifiedBy>Ann Martin</cp:lastModifiedBy>
  <cp:revision>2</cp:revision>
  <cp:lastPrinted>2018-05-08T01:30:00Z</cp:lastPrinted>
  <dcterms:created xsi:type="dcterms:W3CDTF">2018-05-08T01:31:00Z</dcterms:created>
  <dcterms:modified xsi:type="dcterms:W3CDTF">2018-05-08T01:31:00Z</dcterms:modified>
</cp:coreProperties>
</file>